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4272E" w14:textId="77777777" w:rsidR="0026152E" w:rsidRPr="00AD31DB" w:rsidRDefault="00AA7A17" w:rsidP="0026152E">
      <w:pPr>
        <w:tabs>
          <w:tab w:val="left" w:pos="1853"/>
        </w:tabs>
        <w:rPr>
          <w:rFonts w:asciiTheme="majorHAnsi" w:hAnsiTheme="majorHAnsi" w:cs="Helvetica"/>
          <w:b/>
          <w:lang w:val="fr-FR"/>
        </w:rPr>
      </w:pPr>
      <w:r w:rsidRPr="00AD31DB">
        <w:rPr>
          <w:rFonts w:asciiTheme="majorHAnsi" w:hAnsiTheme="majorHAnsi" w:cs="Helvetica"/>
          <w:b/>
          <w:lang w:val="fr-FR"/>
        </w:rPr>
        <w:t>Familles et</w:t>
      </w:r>
      <w:r w:rsidR="00173D8D" w:rsidRPr="00AD31DB">
        <w:rPr>
          <w:rFonts w:asciiTheme="majorHAnsi" w:hAnsiTheme="majorHAnsi" w:cs="Helvetica"/>
          <w:b/>
          <w:lang w:val="fr-FR"/>
        </w:rPr>
        <w:t xml:space="preserve"> mobilité les défis pour les</w:t>
      </w:r>
      <w:r w:rsidR="003973BB" w:rsidRPr="00AD31DB">
        <w:rPr>
          <w:rFonts w:asciiTheme="majorHAnsi" w:hAnsiTheme="majorHAnsi" w:cs="Helvetica"/>
          <w:b/>
          <w:lang w:val="fr-FR"/>
        </w:rPr>
        <w:t xml:space="preserve"> politiques familiales</w:t>
      </w:r>
    </w:p>
    <w:p w14:paraId="65DE9E7F" w14:textId="77777777" w:rsidR="0047620E" w:rsidRPr="003973BB" w:rsidRDefault="0047620E" w:rsidP="0026152E">
      <w:pPr>
        <w:tabs>
          <w:tab w:val="left" w:pos="1853"/>
        </w:tabs>
        <w:rPr>
          <w:rFonts w:asciiTheme="majorHAnsi" w:hAnsiTheme="majorHAnsi" w:cs="Helvetica"/>
          <w:lang w:val="fr-FR"/>
        </w:rPr>
      </w:pPr>
    </w:p>
    <w:p w14:paraId="25C42CE5" w14:textId="77777777" w:rsidR="0047620E" w:rsidRDefault="0047620E" w:rsidP="0047620E">
      <w:pPr>
        <w:rPr>
          <w:rFonts w:asciiTheme="majorHAnsi" w:hAnsiTheme="majorHAnsi"/>
        </w:rPr>
      </w:pPr>
      <w:r>
        <w:rPr>
          <w:rFonts w:asciiTheme="majorHAnsi" w:hAnsiTheme="majorHAnsi"/>
        </w:rPr>
        <w:t xml:space="preserve">Maria Cristina Sousa Gomes </w:t>
      </w:r>
    </w:p>
    <w:p w14:paraId="71FB1CFD" w14:textId="77777777" w:rsidR="0047620E" w:rsidRDefault="0047620E" w:rsidP="0047620E">
      <w:pPr>
        <w:rPr>
          <w:rFonts w:asciiTheme="majorHAnsi" w:hAnsiTheme="majorHAnsi"/>
          <w:lang w:val="fr-FR"/>
        </w:rPr>
      </w:pPr>
      <w:r w:rsidRPr="008E7CB6">
        <w:rPr>
          <w:rFonts w:asciiTheme="majorHAnsi" w:hAnsiTheme="majorHAnsi"/>
          <w:lang w:val="fr-FR"/>
        </w:rPr>
        <w:t xml:space="preserve">Département de </w:t>
      </w:r>
      <w:r>
        <w:rPr>
          <w:rFonts w:asciiTheme="majorHAnsi" w:hAnsiTheme="majorHAnsi"/>
          <w:lang w:val="fr-FR"/>
        </w:rPr>
        <w:t xml:space="preserve">Sciences Sociales, Politiques et du Territoire –Unité de Recherche </w:t>
      </w:r>
      <w:proofErr w:type="spellStart"/>
      <w:r>
        <w:rPr>
          <w:rFonts w:asciiTheme="majorHAnsi" w:hAnsiTheme="majorHAnsi"/>
          <w:lang w:val="fr-FR"/>
        </w:rPr>
        <w:t>Govcopp</w:t>
      </w:r>
      <w:proofErr w:type="spellEnd"/>
      <w:r>
        <w:rPr>
          <w:rFonts w:asciiTheme="majorHAnsi" w:hAnsiTheme="majorHAnsi"/>
          <w:lang w:val="fr-FR"/>
        </w:rPr>
        <w:t xml:space="preserve"> </w:t>
      </w:r>
    </w:p>
    <w:p w14:paraId="499400E8" w14:textId="77777777" w:rsidR="0047620E" w:rsidRDefault="0047620E" w:rsidP="0047620E">
      <w:pPr>
        <w:rPr>
          <w:rFonts w:asciiTheme="majorHAnsi" w:hAnsiTheme="majorHAnsi"/>
          <w:lang w:val="fr-FR"/>
        </w:rPr>
      </w:pPr>
      <w:r>
        <w:rPr>
          <w:rFonts w:asciiTheme="majorHAnsi" w:hAnsiTheme="majorHAnsi"/>
          <w:lang w:val="fr-FR"/>
        </w:rPr>
        <w:t>Université de Aveiro (</w:t>
      </w:r>
      <w:hyperlink r:id="rId9" w:history="1">
        <w:r w:rsidRPr="00242E54">
          <w:rPr>
            <w:rStyle w:val="Hyperlink"/>
            <w:rFonts w:asciiTheme="majorHAnsi" w:hAnsiTheme="majorHAnsi"/>
            <w:lang w:val="fr-FR"/>
          </w:rPr>
          <w:t>mcgomes@ua.pt</w:t>
        </w:r>
      </w:hyperlink>
      <w:r>
        <w:rPr>
          <w:rFonts w:asciiTheme="majorHAnsi" w:hAnsiTheme="majorHAnsi"/>
          <w:lang w:val="fr-FR"/>
        </w:rPr>
        <w:t>)</w:t>
      </w:r>
    </w:p>
    <w:p w14:paraId="4DF3ACCE" w14:textId="77777777" w:rsidR="0047620E" w:rsidRDefault="0047620E" w:rsidP="0047620E">
      <w:pPr>
        <w:rPr>
          <w:rFonts w:asciiTheme="majorHAnsi" w:hAnsiTheme="majorHAnsi"/>
        </w:rPr>
      </w:pPr>
    </w:p>
    <w:p w14:paraId="18394397" w14:textId="77777777" w:rsidR="0047620E" w:rsidRPr="00EE041E" w:rsidRDefault="0047620E" w:rsidP="0047620E">
      <w:pPr>
        <w:widowControl w:val="0"/>
        <w:autoSpaceDE w:val="0"/>
        <w:autoSpaceDN w:val="0"/>
        <w:adjustRightInd w:val="0"/>
        <w:rPr>
          <w:rFonts w:asciiTheme="majorHAnsi" w:hAnsiTheme="majorHAnsi"/>
        </w:rPr>
      </w:pPr>
      <w:r w:rsidRPr="00EE041E">
        <w:rPr>
          <w:rFonts w:asciiTheme="majorHAnsi" w:hAnsiTheme="majorHAnsi"/>
        </w:rPr>
        <w:t>Adelaide Freitas</w:t>
      </w:r>
    </w:p>
    <w:p w14:paraId="67E2A8C8" w14:textId="77777777" w:rsidR="0047620E" w:rsidRDefault="0047620E" w:rsidP="0047620E">
      <w:pPr>
        <w:rPr>
          <w:rFonts w:asciiTheme="majorHAnsi" w:hAnsiTheme="majorHAnsi"/>
        </w:rPr>
      </w:pPr>
      <w:r w:rsidRPr="008E7CB6">
        <w:rPr>
          <w:rFonts w:asciiTheme="majorHAnsi" w:hAnsiTheme="majorHAnsi"/>
          <w:lang w:val="fr-FR"/>
        </w:rPr>
        <w:t xml:space="preserve">Département </w:t>
      </w:r>
      <w:r>
        <w:rPr>
          <w:rFonts w:asciiTheme="majorHAnsi" w:hAnsiTheme="majorHAnsi"/>
        </w:rPr>
        <w:t xml:space="preserve">de </w:t>
      </w:r>
      <w:proofErr w:type="spellStart"/>
      <w:r>
        <w:rPr>
          <w:rFonts w:asciiTheme="majorHAnsi" w:hAnsiTheme="majorHAnsi"/>
        </w:rPr>
        <w:t>Mathématique</w:t>
      </w:r>
      <w:proofErr w:type="spellEnd"/>
      <w:r w:rsidRPr="00EE041E">
        <w:rPr>
          <w:rFonts w:asciiTheme="majorHAnsi" w:hAnsiTheme="majorHAnsi"/>
        </w:rPr>
        <w:t xml:space="preserve"> &amp; CIDMA, </w:t>
      </w:r>
    </w:p>
    <w:p w14:paraId="7D71F1F2" w14:textId="77777777" w:rsidR="0047620E" w:rsidRDefault="0047620E" w:rsidP="0047620E">
      <w:pPr>
        <w:rPr>
          <w:rFonts w:asciiTheme="majorHAnsi" w:hAnsiTheme="majorHAnsi"/>
        </w:rPr>
      </w:pPr>
      <w:proofErr w:type="spellStart"/>
      <w:r>
        <w:rPr>
          <w:rFonts w:asciiTheme="majorHAnsi" w:hAnsiTheme="majorHAnsi"/>
        </w:rPr>
        <w:t>Université</w:t>
      </w:r>
      <w:proofErr w:type="spellEnd"/>
      <w:r w:rsidRPr="00EE041E">
        <w:rPr>
          <w:rFonts w:asciiTheme="majorHAnsi" w:hAnsiTheme="majorHAnsi"/>
        </w:rPr>
        <w:t xml:space="preserve"> de Aveiro.</w:t>
      </w:r>
    </w:p>
    <w:p w14:paraId="175BC355" w14:textId="77777777" w:rsidR="0047620E" w:rsidRDefault="0047620E" w:rsidP="0047620E">
      <w:pPr>
        <w:rPr>
          <w:rFonts w:asciiTheme="majorHAnsi" w:hAnsiTheme="majorHAnsi"/>
        </w:rPr>
      </w:pPr>
    </w:p>
    <w:p w14:paraId="36615571" w14:textId="77777777" w:rsidR="0047620E" w:rsidRPr="00E82E65" w:rsidRDefault="0047620E" w:rsidP="0047620E">
      <w:pPr>
        <w:rPr>
          <w:rFonts w:asciiTheme="majorHAnsi" w:hAnsiTheme="majorHAnsi"/>
        </w:rPr>
      </w:pPr>
      <w:r>
        <w:rPr>
          <w:rFonts w:asciiTheme="majorHAnsi" w:hAnsiTheme="majorHAnsi"/>
        </w:rPr>
        <w:t xml:space="preserve">Maria Luís Rocha Pinto </w:t>
      </w:r>
    </w:p>
    <w:p w14:paraId="4F17A76B" w14:textId="77777777" w:rsidR="0047620E" w:rsidRDefault="0047620E" w:rsidP="0047620E">
      <w:pPr>
        <w:rPr>
          <w:rFonts w:asciiTheme="majorHAnsi" w:hAnsiTheme="majorHAnsi"/>
          <w:lang w:val="fr-FR"/>
        </w:rPr>
      </w:pPr>
      <w:r w:rsidRPr="008E7CB6">
        <w:rPr>
          <w:rFonts w:asciiTheme="majorHAnsi" w:hAnsiTheme="majorHAnsi"/>
          <w:lang w:val="fr-FR"/>
        </w:rPr>
        <w:t xml:space="preserve">Département de </w:t>
      </w:r>
      <w:r>
        <w:rPr>
          <w:rFonts w:asciiTheme="majorHAnsi" w:hAnsiTheme="majorHAnsi"/>
          <w:lang w:val="fr-FR"/>
        </w:rPr>
        <w:t xml:space="preserve">Sciences Sociales, Politiques et du Territoire –Unité de Recherche </w:t>
      </w:r>
      <w:proofErr w:type="spellStart"/>
      <w:r>
        <w:rPr>
          <w:rFonts w:asciiTheme="majorHAnsi" w:hAnsiTheme="majorHAnsi"/>
          <w:lang w:val="fr-FR"/>
        </w:rPr>
        <w:t>Govcopp</w:t>
      </w:r>
      <w:proofErr w:type="spellEnd"/>
      <w:r>
        <w:rPr>
          <w:rFonts w:asciiTheme="majorHAnsi" w:hAnsiTheme="majorHAnsi"/>
          <w:lang w:val="fr-FR"/>
        </w:rPr>
        <w:t xml:space="preserve"> </w:t>
      </w:r>
    </w:p>
    <w:p w14:paraId="597E85C4" w14:textId="77777777" w:rsidR="0047620E" w:rsidRDefault="0047620E" w:rsidP="0047620E">
      <w:pPr>
        <w:rPr>
          <w:rFonts w:asciiTheme="majorHAnsi" w:hAnsiTheme="majorHAnsi"/>
        </w:rPr>
      </w:pPr>
      <w:r>
        <w:rPr>
          <w:rFonts w:asciiTheme="majorHAnsi" w:hAnsiTheme="majorHAnsi"/>
          <w:lang w:val="fr-FR"/>
        </w:rPr>
        <w:t>Université de Aveiro</w:t>
      </w:r>
    </w:p>
    <w:p w14:paraId="777FE0DB" w14:textId="77777777" w:rsidR="003973BB" w:rsidRDefault="003973BB" w:rsidP="0026152E">
      <w:pPr>
        <w:tabs>
          <w:tab w:val="left" w:pos="1853"/>
        </w:tabs>
        <w:rPr>
          <w:rFonts w:asciiTheme="majorHAnsi" w:hAnsiTheme="majorHAnsi"/>
          <w:lang w:val="fr-FR"/>
        </w:rPr>
      </w:pPr>
    </w:p>
    <w:p w14:paraId="71B8A3E1" w14:textId="77777777" w:rsidR="0047620E" w:rsidRDefault="0047620E" w:rsidP="0026152E">
      <w:pPr>
        <w:tabs>
          <w:tab w:val="left" w:pos="1853"/>
        </w:tabs>
        <w:rPr>
          <w:rFonts w:asciiTheme="majorHAnsi" w:hAnsiTheme="majorHAnsi"/>
          <w:lang w:val="fr-FR"/>
        </w:rPr>
      </w:pPr>
    </w:p>
    <w:p w14:paraId="5373D910" w14:textId="77777777" w:rsidR="0047620E" w:rsidRDefault="0047620E" w:rsidP="0026152E">
      <w:pPr>
        <w:tabs>
          <w:tab w:val="left" w:pos="1853"/>
        </w:tabs>
        <w:rPr>
          <w:rFonts w:asciiTheme="majorHAnsi" w:hAnsiTheme="majorHAnsi"/>
          <w:lang w:val="fr-FR"/>
        </w:rPr>
      </w:pPr>
    </w:p>
    <w:p w14:paraId="1E5B0B10" w14:textId="77777777" w:rsidR="0047620E" w:rsidRPr="003973BB" w:rsidRDefault="0047620E" w:rsidP="0026152E">
      <w:pPr>
        <w:tabs>
          <w:tab w:val="left" w:pos="1853"/>
        </w:tabs>
        <w:rPr>
          <w:rFonts w:asciiTheme="majorHAnsi" w:hAnsiTheme="majorHAnsi"/>
          <w:lang w:val="fr-FR"/>
        </w:rPr>
      </w:pPr>
    </w:p>
    <w:p w14:paraId="7FE226E5" w14:textId="77777777" w:rsidR="004C5A34" w:rsidRPr="00EA333F" w:rsidRDefault="00F3647D">
      <w:pPr>
        <w:rPr>
          <w:rFonts w:asciiTheme="majorHAnsi" w:hAnsiTheme="majorHAnsi"/>
          <w:lang w:val="fr-FR"/>
        </w:rPr>
      </w:pPr>
      <w:r w:rsidRPr="00EA333F">
        <w:rPr>
          <w:rFonts w:asciiTheme="majorHAnsi" w:hAnsiTheme="majorHAnsi"/>
          <w:lang w:val="fr-FR"/>
        </w:rPr>
        <w:t>Introdu</w:t>
      </w:r>
      <w:r w:rsidR="003870B9" w:rsidRPr="00EA333F">
        <w:rPr>
          <w:rFonts w:asciiTheme="majorHAnsi" w:hAnsiTheme="majorHAnsi"/>
          <w:lang w:val="fr-FR"/>
        </w:rPr>
        <w:t>ction</w:t>
      </w:r>
    </w:p>
    <w:p w14:paraId="21FB0A6A" w14:textId="77777777" w:rsidR="00AF5557" w:rsidRPr="003973BB" w:rsidRDefault="0026152E" w:rsidP="003973BB">
      <w:pPr>
        <w:ind w:left="851"/>
        <w:jc w:val="both"/>
        <w:rPr>
          <w:rFonts w:asciiTheme="majorHAnsi" w:hAnsiTheme="majorHAnsi"/>
          <w:sz w:val="20"/>
          <w:szCs w:val="20"/>
          <w:lang w:val="fr-FR"/>
        </w:rPr>
      </w:pPr>
      <w:r w:rsidRPr="00EA333F">
        <w:rPr>
          <w:lang w:val="fr-FR"/>
        </w:rPr>
        <w:tab/>
      </w:r>
      <w:r w:rsidRPr="003870B9">
        <w:rPr>
          <w:rFonts w:asciiTheme="majorHAnsi" w:hAnsiTheme="majorHAnsi"/>
          <w:lang w:val="fr-FR"/>
        </w:rPr>
        <w:t>“</w:t>
      </w:r>
      <w:r w:rsidR="003870B9" w:rsidRPr="003870B9">
        <w:rPr>
          <w:rFonts w:asciiTheme="majorHAnsi" w:hAnsiTheme="majorHAnsi"/>
          <w:i/>
          <w:sz w:val="22"/>
          <w:szCs w:val="22"/>
          <w:lang w:val="fr-FR"/>
        </w:rPr>
        <w:t xml:space="preserve">À une époque marquée par de grandes </w:t>
      </w:r>
      <w:r w:rsidR="008252CF" w:rsidRPr="003870B9">
        <w:rPr>
          <w:rFonts w:asciiTheme="majorHAnsi" w:hAnsiTheme="majorHAnsi" w:cs="Times"/>
          <w:i/>
          <w:sz w:val="22"/>
          <w:szCs w:val="22"/>
          <w:lang w:val="fr-FR"/>
        </w:rPr>
        <w:t>préoccupations</w:t>
      </w:r>
      <w:r w:rsidR="00AF5557" w:rsidRPr="003870B9">
        <w:rPr>
          <w:rFonts w:asciiTheme="majorHAnsi" w:hAnsiTheme="majorHAnsi" w:cs="Times"/>
          <w:i/>
          <w:sz w:val="22"/>
          <w:szCs w:val="22"/>
          <w:lang w:val="fr-FR"/>
        </w:rPr>
        <w:t xml:space="preserve"> d</w:t>
      </w:r>
      <w:r w:rsidR="003870B9" w:rsidRPr="003870B9">
        <w:rPr>
          <w:rFonts w:asciiTheme="majorHAnsi" w:hAnsiTheme="majorHAnsi" w:cs="Times"/>
          <w:i/>
          <w:sz w:val="22"/>
          <w:szCs w:val="22"/>
          <w:lang w:val="fr-FR"/>
        </w:rPr>
        <w:t xml:space="preserve">’ordre </w:t>
      </w:r>
      <w:r w:rsidR="008252CF" w:rsidRPr="003870B9">
        <w:rPr>
          <w:rFonts w:asciiTheme="majorHAnsi" w:hAnsiTheme="majorHAnsi" w:cs="Times"/>
          <w:i/>
          <w:sz w:val="22"/>
          <w:szCs w:val="22"/>
          <w:lang w:val="fr-FR"/>
        </w:rPr>
        <w:t>économique</w:t>
      </w:r>
      <w:r w:rsidR="00AF5557" w:rsidRPr="003870B9">
        <w:rPr>
          <w:rFonts w:asciiTheme="majorHAnsi" w:hAnsiTheme="majorHAnsi" w:cs="Times"/>
          <w:i/>
          <w:sz w:val="22"/>
          <w:szCs w:val="22"/>
          <w:lang w:val="fr-FR"/>
        </w:rPr>
        <w:t xml:space="preserve"> e</w:t>
      </w:r>
      <w:r w:rsidR="003870B9" w:rsidRPr="003870B9">
        <w:rPr>
          <w:rFonts w:asciiTheme="majorHAnsi" w:hAnsiTheme="majorHAnsi" w:cs="Times"/>
          <w:i/>
          <w:sz w:val="22"/>
          <w:szCs w:val="22"/>
          <w:lang w:val="fr-FR"/>
        </w:rPr>
        <w:t>t financier</w:t>
      </w:r>
      <w:r w:rsidR="00AF5557" w:rsidRPr="003870B9">
        <w:rPr>
          <w:rFonts w:asciiTheme="majorHAnsi" w:hAnsiTheme="majorHAnsi" w:cs="Times"/>
          <w:i/>
          <w:sz w:val="22"/>
          <w:szCs w:val="22"/>
          <w:lang w:val="fr-FR"/>
        </w:rPr>
        <w:t xml:space="preserve">, </w:t>
      </w:r>
      <w:r w:rsidR="008252CF" w:rsidRPr="003870B9">
        <w:rPr>
          <w:rFonts w:asciiTheme="majorHAnsi" w:hAnsiTheme="majorHAnsi" w:cs="Times"/>
          <w:i/>
          <w:sz w:val="22"/>
          <w:szCs w:val="22"/>
          <w:lang w:val="fr-FR"/>
        </w:rPr>
        <w:t>analyser</w:t>
      </w:r>
      <w:r w:rsidR="00AF5557" w:rsidRPr="003870B9">
        <w:rPr>
          <w:rFonts w:asciiTheme="majorHAnsi" w:hAnsiTheme="majorHAnsi" w:cs="Times"/>
          <w:i/>
          <w:sz w:val="22"/>
          <w:szCs w:val="22"/>
          <w:lang w:val="fr-FR"/>
        </w:rPr>
        <w:t xml:space="preserve"> </w:t>
      </w:r>
      <w:r w:rsidR="003870B9" w:rsidRPr="003870B9">
        <w:rPr>
          <w:rFonts w:asciiTheme="majorHAnsi" w:hAnsiTheme="majorHAnsi" w:cs="Times"/>
          <w:i/>
          <w:sz w:val="22"/>
          <w:szCs w:val="22"/>
          <w:lang w:val="fr-FR"/>
        </w:rPr>
        <w:t>l</w:t>
      </w:r>
      <w:r w:rsidR="00AF5557" w:rsidRPr="003870B9">
        <w:rPr>
          <w:rFonts w:asciiTheme="majorHAnsi" w:hAnsiTheme="majorHAnsi" w:cs="Times"/>
          <w:i/>
          <w:sz w:val="22"/>
          <w:szCs w:val="22"/>
          <w:lang w:val="fr-FR"/>
        </w:rPr>
        <w:t>a transforma</w:t>
      </w:r>
      <w:r w:rsidR="003870B9" w:rsidRPr="003870B9">
        <w:rPr>
          <w:rFonts w:asciiTheme="majorHAnsi" w:hAnsiTheme="majorHAnsi" w:cs="Times"/>
          <w:i/>
          <w:sz w:val="22"/>
          <w:szCs w:val="22"/>
          <w:lang w:val="fr-FR"/>
        </w:rPr>
        <w:t>tion</w:t>
      </w:r>
      <w:r w:rsidR="00AF5557" w:rsidRPr="003870B9">
        <w:rPr>
          <w:rFonts w:asciiTheme="majorHAnsi" w:hAnsiTheme="majorHAnsi" w:cs="Times"/>
          <w:i/>
          <w:sz w:val="22"/>
          <w:szCs w:val="22"/>
          <w:lang w:val="fr-FR"/>
        </w:rPr>
        <w:t xml:space="preserve"> d</w:t>
      </w:r>
      <w:r w:rsidR="003870B9" w:rsidRPr="003870B9">
        <w:rPr>
          <w:rFonts w:asciiTheme="majorHAnsi" w:hAnsiTheme="majorHAnsi" w:cs="Times"/>
          <w:i/>
          <w:sz w:val="22"/>
          <w:szCs w:val="22"/>
          <w:lang w:val="fr-FR"/>
        </w:rPr>
        <w:t>e la</w:t>
      </w:r>
      <w:r w:rsidR="00AF5557" w:rsidRPr="003870B9">
        <w:rPr>
          <w:rFonts w:asciiTheme="majorHAnsi" w:hAnsiTheme="majorHAnsi" w:cs="Times"/>
          <w:i/>
          <w:sz w:val="22"/>
          <w:szCs w:val="22"/>
          <w:lang w:val="fr-FR"/>
        </w:rPr>
        <w:t xml:space="preserve"> v</w:t>
      </w:r>
      <w:r w:rsidR="003870B9" w:rsidRPr="003870B9">
        <w:rPr>
          <w:rFonts w:asciiTheme="majorHAnsi" w:hAnsiTheme="majorHAnsi" w:cs="Times"/>
          <w:i/>
          <w:sz w:val="22"/>
          <w:szCs w:val="22"/>
          <w:lang w:val="fr-FR"/>
        </w:rPr>
        <w:t>ie</w:t>
      </w:r>
      <w:r w:rsidR="00AF5557" w:rsidRPr="003870B9">
        <w:rPr>
          <w:rFonts w:asciiTheme="majorHAnsi" w:hAnsiTheme="majorHAnsi" w:cs="Times"/>
          <w:i/>
          <w:sz w:val="22"/>
          <w:szCs w:val="22"/>
          <w:lang w:val="fr-FR"/>
        </w:rPr>
        <w:t xml:space="preserve"> familia</w:t>
      </w:r>
      <w:r w:rsidR="003870B9" w:rsidRPr="003870B9">
        <w:rPr>
          <w:rFonts w:asciiTheme="majorHAnsi" w:hAnsiTheme="majorHAnsi" w:cs="Times"/>
          <w:i/>
          <w:sz w:val="22"/>
          <w:szCs w:val="22"/>
          <w:lang w:val="fr-FR"/>
        </w:rPr>
        <w:t>le</w:t>
      </w:r>
      <w:r w:rsidR="00AF5557" w:rsidRPr="003870B9">
        <w:rPr>
          <w:rFonts w:asciiTheme="majorHAnsi" w:hAnsiTheme="majorHAnsi" w:cs="Times"/>
          <w:i/>
          <w:sz w:val="22"/>
          <w:szCs w:val="22"/>
          <w:lang w:val="fr-FR"/>
        </w:rPr>
        <w:t xml:space="preserve"> e</w:t>
      </w:r>
      <w:r w:rsidR="003870B9" w:rsidRPr="003870B9">
        <w:rPr>
          <w:rFonts w:asciiTheme="majorHAnsi" w:hAnsiTheme="majorHAnsi" w:cs="Times"/>
          <w:i/>
          <w:sz w:val="22"/>
          <w:szCs w:val="22"/>
          <w:lang w:val="fr-FR"/>
        </w:rPr>
        <w:t>t</w:t>
      </w:r>
      <w:r w:rsidR="00AF5557" w:rsidRPr="003870B9">
        <w:rPr>
          <w:rFonts w:asciiTheme="majorHAnsi" w:hAnsiTheme="majorHAnsi" w:cs="Times"/>
          <w:i/>
          <w:sz w:val="22"/>
          <w:szCs w:val="22"/>
          <w:lang w:val="fr-FR"/>
        </w:rPr>
        <w:t xml:space="preserve"> </w:t>
      </w:r>
      <w:r w:rsidR="003870B9" w:rsidRPr="003870B9">
        <w:rPr>
          <w:rFonts w:asciiTheme="majorHAnsi" w:hAnsiTheme="majorHAnsi" w:cs="Times"/>
          <w:i/>
          <w:sz w:val="22"/>
          <w:szCs w:val="22"/>
          <w:lang w:val="fr-FR"/>
        </w:rPr>
        <w:t xml:space="preserve">le mode de vie des familles </w:t>
      </w:r>
      <w:r w:rsidR="003E6CF7" w:rsidRPr="003870B9">
        <w:rPr>
          <w:rFonts w:asciiTheme="majorHAnsi" w:hAnsiTheme="majorHAnsi" w:cs="Times"/>
          <w:i/>
          <w:sz w:val="22"/>
          <w:szCs w:val="22"/>
          <w:lang w:val="fr-FR"/>
        </w:rPr>
        <w:t xml:space="preserve">d’aujourd’hui </w:t>
      </w:r>
      <w:r w:rsidR="003870B9" w:rsidRPr="003870B9">
        <w:rPr>
          <w:rFonts w:asciiTheme="majorHAnsi" w:hAnsiTheme="majorHAnsi" w:cs="Times"/>
          <w:i/>
          <w:sz w:val="22"/>
          <w:szCs w:val="22"/>
          <w:lang w:val="fr-FR"/>
        </w:rPr>
        <w:t xml:space="preserve">au </w:t>
      </w:r>
      <w:r w:rsidR="00AF5557" w:rsidRPr="003870B9">
        <w:rPr>
          <w:rFonts w:asciiTheme="majorHAnsi" w:hAnsiTheme="majorHAnsi" w:cs="Times"/>
          <w:i/>
          <w:sz w:val="22"/>
          <w:szCs w:val="22"/>
          <w:lang w:val="fr-FR"/>
        </w:rPr>
        <w:t>Portugal</w:t>
      </w:r>
      <w:r w:rsidR="00746787">
        <w:rPr>
          <w:rFonts w:asciiTheme="majorHAnsi" w:hAnsiTheme="majorHAnsi" w:cs="Times"/>
          <w:i/>
          <w:sz w:val="22"/>
          <w:szCs w:val="22"/>
          <w:lang w:val="fr-FR"/>
        </w:rPr>
        <w:t>,</w:t>
      </w:r>
      <w:r w:rsidR="00AF5557" w:rsidRPr="003870B9">
        <w:rPr>
          <w:rFonts w:asciiTheme="majorHAnsi" w:hAnsiTheme="majorHAnsi" w:cs="Times"/>
          <w:i/>
          <w:sz w:val="22"/>
          <w:szCs w:val="22"/>
          <w:lang w:val="fr-FR"/>
        </w:rPr>
        <w:t xml:space="preserve"> </w:t>
      </w:r>
      <w:r w:rsidR="003E6CF7">
        <w:rPr>
          <w:rFonts w:asciiTheme="majorHAnsi" w:hAnsiTheme="majorHAnsi" w:cs="Times"/>
          <w:i/>
          <w:sz w:val="22"/>
          <w:szCs w:val="22"/>
          <w:lang w:val="fr-FR"/>
        </w:rPr>
        <w:t>revêt</w:t>
      </w:r>
      <w:r w:rsidR="003870B9" w:rsidRPr="003870B9">
        <w:rPr>
          <w:rFonts w:asciiTheme="majorHAnsi" w:hAnsiTheme="majorHAnsi" w:cs="Times"/>
          <w:i/>
          <w:sz w:val="22"/>
          <w:szCs w:val="22"/>
          <w:lang w:val="fr-FR"/>
        </w:rPr>
        <w:t xml:space="preserve"> une signification </w:t>
      </w:r>
      <w:r w:rsidR="00AF5557" w:rsidRPr="003870B9">
        <w:rPr>
          <w:rFonts w:asciiTheme="majorHAnsi" w:hAnsiTheme="majorHAnsi" w:cs="Times"/>
          <w:i/>
          <w:sz w:val="22"/>
          <w:szCs w:val="22"/>
          <w:lang w:val="fr-FR"/>
        </w:rPr>
        <w:t>e</w:t>
      </w:r>
      <w:r w:rsidR="003870B9">
        <w:rPr>
          <w:rFonts w:asciiTheme="majorHAnsi" w:hAnsiTheme="majorHAnsi" w:cs="Times"/>
          <w:i/>
          <w:sz w:val="22"/>
          <w:szCs w:val="22"/>
          <w:lang w:val="fr-FR"/>
        </w:rPr>
        <w:t>t</w:t>
      </w:r>
      <w:r w:rsidR="008252CF">
        <w:rPr>
          <w:rFonts w:asciiTheme="majorHAnsi" w:hAnsiTheme="majorHAnsi" w:cs="Times"/>
          <w:i/>
          <w:sz w:val="22"/>
          <w:szCs w:val="22"/>
          <w:lang w:val="fr-FR"/>
        </w:rPr>
        <w:t xml:space="preserve"> une importance</w:t>
      </w:r>
      <w:r w:rsidR="00AF5557" w:rsidRPr="003870B9">
        <w:rPr>
          <w:rFonts w:asciiTheme="majorHAnsi" w:hAnsiTheme="majorHAnsi" w:cs="Times"/>
          <w:i/>
          <w:sz w:val="22"/>
          <w:szCs w:val="22"/>
          <w:lang w:val="fr-FR"/>
        </w:rPr>
        <w:t xml:space="preserve"> </w:t>
      </w:r>
      <w:r w:rsidR="003E6CF7" w:rsidRPr="003870B9">
        <w:rPr>
          <w:rFonts w:asciiTheme="majorHAnsi" w:hAnsiTheme="majorHAnsi" w:cs="Times"/>
          <w:i/>
          <w:sz w:val="22"/>
          <w:szCs w:val="22"/>
          <w:lang w:val="fr-FR"/>
        </w:rPr>
        <w:t>particuli</w:t>
      </w:r>
      <w:r w:rsidR="003E6CF7">
        <w:rPr>
          <w:rFonts w:asciiTheme="majorHAnsi" w:hAnsiTheme="majorHAnsi" w:cs="Times"/>
          <w:i/>
          <w:sz w:val="22"/>
          <w:szCs w:val="22"/>
          <w:lang w:val="fr-FR"/>
        </w:rPr>
        <w:t>ères</w:t>
      </w:r>
      <w:r w:rsidR="003E6CF7" w:rsidRPr="003870B9">
        <w:rPr>
          <w:rFonts w:asciiTheme="majorHAnsi" w:hAnsiTheme="majorHAnsi" w:cs="Times"/>
          <w:i/>
          <w:sz w:val="22"/>
          <w:szCs w:val="22"/>
          <w:lang w:val="fr-FR"/>
        </w:rPr>
        <w:t xml:space="preserve"> </w:t>
      </w:r>
      <w:r w:rsidR="00AF5557" w:rsidRPr="003870B9">
        <w:rPr>
          <w:rFonts w:asciiTheme="majorHAnsi" w:hAnsiTheme="majorHAnsi" w:cs="Times"/>
          <w:i/>
          <w:sz w:val="22"/>
          <w:szCs w:val="22"/>
          <w:lang w:val="fr-FR"/>
        </w:rPr>
        <w:t>p</w:t>
      </w:r>
      <w:r w:rsidR="008252CF">
        <w:rPr>
          <w:rFonts w:asciiTheme="majorHAnsi" w:hAnsiTheme="majorHAnsi" w:cs="Times"/>
          <w:i/>
          <w:sz w:val="22"/>
          <w:szCs w:val="22"/>
          <w:lang w:val="fr-FR"/>
        </w:rPr>
        <w:t xml:space="preserve">our le </w:t>
      </w:r>
      <w:r w:rsidR="00AF5557" w:rsidRPr="003870B9">
        <w:rPr>
          <w:rFonts w:asciiTheme="majorHAnsi" w:hAnsiTheme="majorHAnsi" w:cs="Times"/>
          <w:i/>
          <w:sz w:val="22"/>
          <w:szCs w:val="22"/>
          <w:lang w:val="fr-FR"/>
        </w:rPr>
        <w:t xml:space="preserve">futur </w:t>
      </w:r>
      <w:r w:rsidR="008252CF" w:rsidRPr="003870B9">
        <w:rPr>
          <w:rFonts w:asciiTheme="majorHAnsi" w:hAnsiTheme="majorHAnsi" w:cs="Times"/>
          <w:i/>
          <w:sz w:val="22"/>
          <w:szCs w:val="22"/>
          <w:lang w:val="fr-FR"/>
        </w:rPr>
        <w:t>coll</w:t>
      </w:r>
      <w:r w:rsidR="008252CF">
        <w:rPr>
          <w:rFonts w:asciiTheme="majorHAnsi" w:hAnsiTheme="majorHAnsi" w:cs="Times"/>
          <w:i/>
          <w:sz w:val="22"/>
          <w:szCs w:val="22"/>
          <w:lang w:val="fr-FR"/>
        </w:rPr>
        <w:t>e</w:t>
      </w:r>
      <w:r w:rsidR="008252CF" w:rsidRPr="003870B9">
        <w:rPr>
          <w:rFonts w:asciiTheme="majorHAnsi" w:hAnsiTheme="majorHAnsi" w:cs="Times"/>
          <w:i/>
          <w:sz w:val="22"/>
          <w:szCs w:val="22"/>
          <w:lang w:val="fr-FR"/>
        </w:rPr>
        <w:t>ct</w:t>
      </w:r>
      <w:r w:rsidR="008252CF">
        <w:rPr>
          <w:rFonts w:asciiTheme="majorHAnsi" w:hAnsiTheme="majorHAnsi" w:cs="Times"/>
          <w:i/>
          <w:sz w:val="22"/>
          <w:szCs w:val="22"/>
          <w:lang w:val="fr-FR"/>
        </w:rPr>
        <w:t>if</w:t>
      </w:r>
      <w:r w:rsidR="00AF5557" w:rsidRPr="003870B9">
        <w:rPr>
          <w:rFonts w:asciiTheme="majorHAnsi" w:hAnsiTheme="majorHAnsi" w:cs="Times"/>
          <w:i/>
          <w:sz w:val="22"/>
          <w:szCs w:val="22"/>
          <w:lang w:val="fr-FR"/>
        </w:rPr>
        <w:t xml:space="preserve"> d</w:t>
      </w:r>
      <w:r w:rsidR="008252CF">
        <w:rPr>
          <w:rFonts w:asciiTheme="majorHAnsi" w:hAnsiTheme="majorHAnsi" w:cs="Times"/>
          <w:i/>
          <w:sz w:val="22"/>
          <w:szCs w:val="22"/>
          <w:lang w:val="fr-FR"/>
        </w:rPr>
        <w:t>u Pay</w:t>
      </w:r>
      <w:r w:rsidR="00AF5557" w:rsidRPr="003870B9">
        <w:rPr>
          <w:rFonts w:asciiTheme="majorHAnsi" w:hAnsiTheme="majorHAnsi" w:cs="Times"/>
          <w:i/>
          <w:sz w:val="22"/>
          <w:szCs w:val="22"/>
          <w:lang w:val="fr-FR"/>
        </w:rPr>
        <w:t xml:space="preserve">s, </w:t>
      </w:r>
      <w:r w:rsidR="008252CF">
        <w:rPr>
          <w:rFonts w:asciiTheme="majorHAnsi" w:hAnsiTheme="majorHAnsi" w:cs="Times"/>
          <w:i/>
          <w:sz w:val="22"/>
          <w:szCs w:val="22"/>
          <w:lang w:val="fr-FR"/>
        </w:rPr>
        <w:t>à moyen et long terme</w:t>
      </w:r>
      <w:r w:rsidR="00AF5557" w:rsidRPr="003870B9">
        <w:rPr>
          <w:rFonts w:asciiTheme="majorHAnsi" w:hAnsiTheme="majorHAnsi" w:cs="Times"/>
          <w:i/>
          <w:sz w:val="22"/>
          <w:szCs w:val="22"/>
          <w:lang w:val="fr-FR"/>
        </w:rPr>
        <w:t xml:space="preserve">. </w:t>
      </w:r>
      <w:r w:rsidR="008252CF" w:rsidRPr="008252CF">
        <w:rPr>
          <w:rFonts w:asciiTheme="majorHAnsi" w:hAnsiTheme="majorHAnsi" w:cs="Times"/>
          <w:i/>
          <w:sz w:val="22"/>
          <w:szCs w:val="22"/>
          <w:lang w:val="fr-FR"/>
        </w:rPr>
        <w:t xml:space="preserve">La </w:t>
      </w:r>
      <w:r w:rsidR="00AF5557" w:rsidRPr="008252CF">
        <w:rPr>
          <w:rFonts w:asciiTheme="majorHAnsi" w:hAnsiTheme="majorHAnsi" w:cs="Times"/>
          <w:i/>
          <w:sz w:val="22"/>
          <w:szCs w:val="22"/>
          <w:lang w:val="fr-FR"/>
        </w:rPr>
        <w:t>fam</w:t>
      </w:r>
      <w:r w:rsidR="008252CF" w:rsidRPr="008252CF">
        <w:rPr>
          <w:rFonts w:asciiTheme="majorHAnsi" w:hAnsiTheme="majorHAnsi" w:cs="Times"/>
          <w:i/>
          <w:sz w:val="22"/>
          <w:szCs w:val="22"/>
          <w:lang w:val="fr-FR"/>
        </w:rPr>
        <w:t>ille</w:t>
      </w:r>
      <w:r w:rsidR="00AF5557" w:rsidRPr="008252CF">
        <w:rPr>
          <w:rFonts w:asciiTheme="majorHAnsi" w:hAnsiTheme="majorHAnsi" w:cs="Times"/>
          <w:i/>
          <w:sz w:val="22"/>
          <w:szCs w:val="22"/>
          <w:lang w:val="fr-FR"/>
        </w:rPr>
        <w:t xml:space="preserve"> </w:t>
      </w:r>
      <w:r w:rsidR="008252CF" w:rsidRPr="008252CF">
        <w:rPr>
          <w:rFonts w:asciiTheme="majorHAnsi" w:hAnsiTheme="majorHAnsi" w:cs="Times"/>
          <w:i/>
          <w:sz w:val="22"/>
          <w:szCs w:val="22"/>
          <w:lang w:val="fr-FR"/>
        </w:rPr>
        <w:t>joue un rôle dans l’</w:t>
      </w:r>
      <w:r w:rsidR="007D1026" w:rsidRPr="008252CF">
        <w:rPr>
          <w:rFonts w:asciiTheme="majorHAnsi" w:hAnsiTheme="majorHAnsi" w:cs="Times"/>
          <w:i/>
          <w:sz w:val="22"/>
          <w:szCs w:val="22"/>
          <w:lang w:val="fr-FR"/>
        </w:rPr>
        <w:t>intégration</w:t>
      </w:r>
      <w:r w:rsidR="00AF5557" w:rsidRPr="008252CF">
        <w:rPr>
          <w:rFonts w:asciiTheme="majorHAnsi" w:hAnsiTheme="majorHAnsi" w:cs="Times"/>
          <w:i/>
          <w:sz w:val="22"/>
          <w:szCs w:val="22"/>
          <w:lang w:val="fr-FR"/>
        </w:rPr>
        <w:t xml:space="preserve"> social</w:t>
      </w:r>
      <w:r w:rsidR="008252CF" w:rsidRPr="008252CF">
        <w:rPr>
          <w:rFonts w:asciiTheme="majorHAnsi" w:hAnsiTheme="majorHAnsi" w:cs="Times"/>
          <w:i/>
          <w:sz w:val="22"/>
          <w:szCs w:val="22"/>
          <w:lang w:val="fr-FR"/>
        </w:rPr>
        <w:t>e</w:t>
      </w:r>
      <w:r w:rsidR="00AF5557" w:rsidRPr="008252CF">
        <w:rPr>
          <w:rFonts w:asciiTheme="majorHAnsi" w:hAnsiTheme="majorHAnsi" w:cs="Times"/>
          <w:i/>
          <w:sz w:val="22"/>
          <w:szCs w:val="22"/>
          <w:lang w:val="fr-FR"/>
        </w:rPr>
        <w:t xml:space="preserve"> d</w:t>
      </w:r>
      <w:r w:rsidR="008252CF" w:rsidRPr="008252CF">
        <w:rPr>
          <w:rFonts w:asciiTheme="majorHAnsi" w:hAnsiTheme="majorHAnsi" w:cs="Times"/>
          <w:i/>
          <w:sz w:val="22"/>
          <w:szCs w:val="22"/>
          <w:lang w:val="fr-FR"/>
        </w:rPr>
        <w:t xml:space="preserve">es </w:t>
      </w:r>
      <w:r w:rsidR="007D1026" w:rsidRPr="008252CF">
        <w:rPr>
          <w:rFonts w:asciiTheme="majorHAnsi" w:hAnsiTheme="majorHAnsi" w:cs="Times"/>
          <w:i/>
          <w:sz w:val="22"/>
          <w:szCs w:val="22"/>
          <w:lang w:val="fr-FR"/>
        </w:rPr>
        <w:t>individus</w:t>
      </w:r>
      <w:r w:rsidR="00AF5557" w:rsidRPr="008252CF">
        <w:rPr>
          <w:rFonts w:asciiTheme="majorHAnsi" w:hAnsiTheme="majorHAnsi" w:cs="Times"/>
          <w:i/>
          <w:sz w:val="22"/>
          <w:szCs w:val="22"/>
          <w:lang w:val="fr-FR"/>
        </w:rPr>
        <w:t xml:space="preserve"> e</w:t>
      </w:r>
      <w:r w:rsidR="008252CF" w:rsidRPr="008252CF">
        <w:rPr>
          <w:rFonts w:asciiTheme="majorHAnsi" w:hAnsiTheme="majorHAnsi" w:cs="Times"/>
          <w:i/>
          <w:sz w:val="22"/>
          <w:szCs w:val="22"/>
          <w:lang w:val="fr-FR"/>
        </w:rPr>
        <w:t>t</w:t>
      </w:r>
      <w:r w:rsidR="00AF5557" w:rsidRPr="008252CF">
        <w:rPr>
          <w:rFonts w:asciiTheme="majorHAnsi" w:hAnsiTheme="majorHAnsi" w:cs="Times"/>
          <w:i/>
          <w:sz w:val="22"/>
          <w:szCs w:val="22"/>
          <w:lang w:val="fr-FR"/>
        </w:rPr>
        <w:t xml:space="preserve"> con</w:t>
      </w:r>
      <w:r w:rsidR="008252CF" w:rsidRPr="008252CF">
        <w:rPr>
          <w:rFonts w:asciiTheme="majorHAnsi" w:hAnsiTheme="majorHAnsi" w:cs="Times"/>
          <w:i/>
          <w:sz w:val="22"/>
          <w:szCs w:val="22"/>
          <w:lang w:val="fr-FR"/>
        </w:rPr>
        <w:t>tribue à leur</w:t>
      </w:r>
      <w:r w:rsidR="00AF5557" w:rsidRPr="008252CF">
        <w:rPr>
          <w:rFonts w:asciiTheme="majorHAnsi" w:hAnsiTheme="majorHAnsi" w:cs="Times"/>
          <w:i/>
          <w:sz w:val="22"/>
          <w:szCs w:val="22"/>
          <w:lang w:val="fr-FR"/>
        </w:rPr>
        <w:t xml:space="preserve"> </w:t>
      </w:r>
      <w:r w:rsidR="007D1026" w:rsidRPr="008252CF">
        <w:rPr>
          <w:rFonts w:asciiTheme="majorHAnsi" w:hAnsiTheme="majorHAnsi" w:cs="Times"/>
          <w:i/>
          <w:sz w:val="22"/>
          <w:szCs w:val="22"/>
          <w:lang w:val="fr-FR"/>
        </w:rPr>
        <w:t>d</w:t>
      </w:r>
      <w:r w:rsidR="007D1026">
        <w:rPr>
          <w:rFonts w:asciiTheme="majorHAnsi" w:hAnsiTheme="majorHAnsi" w:cs="Times"/>
          <w:i/>
          <w:sz w:val="22"/>
          <w:szCs w:val="22"/>
          <w:lang w:val="fr-FR"/>
        </w:rPr>
        <w:t>éveloppement</w:t>
      </w:r>
      <w:r w:rsidR="008252CF">
        <w:rPr>
          <w:rFonts w:asciiTheme="majorHAnsi" w:hAnsiTheme="majorHAnsi" w:cs="Times"/>
          <w:i/>
          <w:sz w:val="22"/>
          <w:szCs w:val="22"/>
          <w:lang w:val="fr-FR"/>
        </w:rPr>
        <w:t xml:space="preserve"> p</w:t>
      </w:r>
      <w:r w:rsidR="00AF5557" w:rsidRPr="008252CF">
        <w:rPr>
          <w:rFonts w:asciiTheme="majorHAnsi" w:hAnsiTheme="majorHAnsi" w:cs="Times"/>
          <w:i/>
          <w:sz w:val="22"/>
          <w:szCs w:val="22"/>
          <w:lang w:val="fr-FR"/>
        </w:rPr>
        <w:t>e</w:t>
      </w:r>
      <w:r w:rsidR="008252CF">
        <w:rPr>
          <w:rFonts w:asciiTheme="majorHAnsi" w:hAnsiTheme="majorHAnsi" w:cs="Times"/>
          <w:i/>
          <w:sz w:val="22"/>
          <w:szCs w:val="22"/>
          <w:lang w:val="fr-FR"/>
        </w:rPr>
        <w:t>rsonnel</w:t>
      </w:r>
      <w:r w:rsidR="00AF5557" w:rsidRPr="008252CF">
        <w:rPr>
          <w:rFonts w:asciiTheme="majorHAnsi" w:hAnsiTheme="majorHAnsi" w:cs="Times"/>
          <w:i/>
          <w:sz w:val="22"/>
          <w:szCs w:val="22"/>
          <w:lang w:val="fr-FR"/>
        </w:rPr>
        <w:t xml:space="preserve"> e</w:t>
      </w:r>
      <w:r w:rsidR="008252CF">
        <w:rPr>
          <w:rFonts w:asciiTheme="majorHAnsi" w:hAnsiTheme="majorHAnsi" w:cs="Times"/>
          <w:i/>
          <w:sz w:val="22"/>
          <w:szCs w:val="22"/>
          <w:lang w:val="fr-FR"/>
        </w:rPr>
        <w:t xml:space="preserve">t leur </w:t>
      </w:r>
      <w:r w:rsidR="00AF5557" w:rsidRPr="008252CF">
        <w:rPr>
          <w:rFonts w:asciiTheme="majorHAnsi" w:hAnsiTheme="majorHAnsi" w:cs="Times"/>
          <w:i/>
          <w:sz w:val="22"/>
          <w:szCs w:val="22"/>
          <w:lang w:val="fr-FR"/>
        </w:rPr>
        <w:t>stabili</w:t>
      </w:r>
      <w:r w:rsidR="008252CF">
        <w:rPr>
          <w:rFonts w:asciiTheme="majorHAnsi" w:hAnsiTheme="majorHAnsi" w:cs="Times"/>
          <w:i/>
          <w:sz w:val="22"/>
          <w:szCs w:val="22"/>
          <w:lang w:val="fr-FR"/>
        </w:rPr>
        <w:t xml:space="preserve">té </w:t>
      </w:r>
      <w:r w:rsidR="007D1026">
        <w:rPr>
          <w:rFonts w:asciiTheme="majorHAnsi" w:hAnsiTheme="majorHAnsi" w:cs="Times"/>
          <w:i/>
          <w:sz w:val="22"/>
          <w:szCs w:val="22"/>
          <w:lang w:val="fr-FR"/>
        </w:rPr>
        <w:t>é</w:t>
      </w:r>
      <w:r w:rsidR="007D1026" w:rsidRPr="008252CF">
        <w:rPr>
          <w:rFonts w:asciiTheme="majorHAnsi" w:hAnsiTheme="majorHAnsi" w:cs="Times"/>
          <w:i/>
          <w:sz w:val="22"/>
          <w:szCs w:val="22"/>
          <w:lang w:val="fr-FR"/>
        </w:rPr>
        <w:t>mo</w:t>
      </w:r>
      <w:r w:rsidR="007D1026">
        <w:rPr>
          <w:rFonts w:asciiTheme="majorHAnsi" w:hAnsiTheme="majorHAnsi" w:cs="Times"/>
          <w:i/>
          <w:sz w:val="22"/>
          <w:szCs w:val="22"/>
          <w:lang w:val="fr-FR"/>
        </w:rPr>
        <w:t>t</w:t>
      </w:r>
      <w:r w:rsidR="007D1026" w:rsidRPr="008252CF">
        <w:rPr>
          <w:rFonts w:asciiTheme="majorHAnsi" w:hAnsiTheme="majorHAnsi" w:cs="Times"/>
          <w:i/>
          <w:sz w:val="22"/>
          <w:szCs w:val="22"/>
          <w:lang w:val="fr-FR"/>
        </w:rPr>
        <w:t>io</w:t>
      </w:r>
      <w:r w:rsidR="007D1026">
        <w:rPr>
          <w:rFonts w:asciiTheme="majorHAnsi" w:hAnsiTheme="majorHAnsi" w:cs="Times"/>
          <w:i/>
          <w:sz w:val="22"/>
          <w:szCs w:val="22"/>
          <w:lang w:val="fr-FR"/>
        </w:rPr>
        <w:t>nnelle</w:t>
      </w:r>
      <w:r w:rsidR="00AF5557" w:rsidRPr="008252CF">
        <w:rPr>
          <w:rFonts w:asciiTheme="majorHAnsi" w:hAnsiTheme="majorHAnsi" w:cs="Times"/>
          <w:i/>
          <w:sz w:val="22"/>
          <w:szCs w:val="22"/>
          <w:lang w:val="fr-FR"/>
        </w:rPr>
        <w:t xml:space="preserve">. </w:t>
      </w:r>
      <w:r w:rsidR="00AF5557" w:rsidRPr="007D1026">
        <w:rPr>
          <w:rFonts w:asciiTheme="majorHAnsi" w:hAnsiTheme="majorHAnsi" w:cs="Times"/>
          <w:i/>
          <w:sz w:val="22"/>
          <w:szCs w:val="22"/>
          <w:lang w:val="fr-FR"/>
        </w:rPr>
        <w:t>To</w:t>
      </w:r>
      <w:r w:rsidR="007D1026" w:rsidRPr="007D1026">
        <w:rPr>
          <w:rFonts w:asciiTheme="majorHAnsi" w:hAnsiTheme="majorHAnsi" w:cs="Times"/>
          <w:i/>
          <w:sz w:val="22"/>
          <w:szCs w:val="22"/>
          <w:lang w:val="fr-FR"/>
        </w:rPr>
        <w:t>utes les enquêtes</w:t>
      </w:r>
      <w:r w:rsidR="00791798">
        <w:rPr>
          <w:rFonts w:asciiTheme="majorHAnsi" w:hAnsiTheme="majorHAnsi" w:cs="Times"/>
          <w:i/>
          <w:sz w:val="22"/>
          <w:szCs w:val="22"/>
          <w:lang w:val="fr-FR"/>
        </w:rPr>
        <w:t xml:space="preserve"> dé</w:t>
      </w:r>
      <w:r w:rsidR="007D1026" w:rsidRPr="007D1026">
        <w:rPr>
          <w:rFonts w:asciiTheme="majorHAnsi" w:hAnsiTheme="majorHAnsi" w:cs="Times"/>
          <w:i/>
          <w:sz w:val="22"/>
          <w:szCs w:val="22"/>
          <w:lang w:val="fr-FR"/>
        </w:rPr>
        <w:t>montrent que c’est l’un des domaine</w:t>
      </w:r>
      <w:r w:rsidR="004C277C">
        <w:rPr>
          <w:rFonts w:asciiTheme="majorHAnsi" w:hAnsiTheme="majorHAnsi" w:cs="Times"/>
          <w:i/>
          <w:sz w:val="22"/>
          <w:szCs w:val="22"/>
          <w:lang w:val="fr-FR"/>
        </w:rPr>
        <w:t>s</w:t>
      </w:r>
      <w:r w:rsidR="007D1026" w:rsidRPr="007D1026">
        <w:rPr>
          <w:rFonts w:asciiTheme="majorHAnsi" w:hAnsiTheme="majorHAnsi" w:cs="Times"/>
          <w:i/>
          <w:sz w:val="22"/>
          <w:szCs w:val="22"/>
          <w:lang w:val="fr-FR"/>
        </w:rPr>
        <w:t xml:space="preserve"> de la vie dans lequel les personnes investissent le plus, occup</w:t>
      </w:r>
      <w:r w:rsidR="00746787">
        <w:rPr>
          <w:rFonts w:asciiTheme="majorHAnsi" w:hAnsiTheme="majorHAnsi" w:cs="Times"/>
          <w:i/>
          <w:sz w:val="22"/>
          <w:szCs w:val="22"/>
          <w:lang w:val="fr-FR"/>
        </w:rPr>
        <w:t>ant</w:t>
      </w:r>
      <w:r w:rsidR="007D1026" w:rsidRPr="007D1026">
        <w:rPr>
          <w:rFonts w:asciiTheme="majorHAnsi" w:hAnsiTheme="majorHAnsi" w:cs="Times"/>
          <w:i/>
          <w:sz w:val="22"/>
          <w:szCs w:val="22"/>
          <w:lang w:val="fr-FR"/>
        </w:rPr>
        <w:t xml:space="preserve"> presque toujours la</w:t>
      </w:r>
      <w:r w:rsidR="007D1026">
        <w:rPr>
          <w:rFonts w:asciiTheme="majorHAnsi" w:hAnsiTheme="majorHAnsi" w:cs="Times"/>
          <w:i/>
          <w:sz w:val="22"/>
          <w:szCs w:val="22"/>
          <w:lang w:val="fr-FR"/>
        </w:rPr>
        <w:t xml:space="preserve"> première</w:t>
      </w:r>
      <w:r w:rsidR="007D1026" w:rsidRPr="007D1026">
        <w:rPr>
          <w:rFonts w:asciiTheme="majorHAnsi" w:hAnsiTheme="majorHAnsi" w:cs="Times"/>
          <w:i/>
          <w:sz w:val="22"/>
          <w:szCs w:val="22"/>
          <w:lang w:val="fr-FR"/>
        </w:rPr>
        <w:t xml:space="preserve"> place</w:t>
      </w:r>
      <w:r w:rsidR="007D1026">
        <w:rPr>
          <w:rFonts w:asciiTheme="majorHAnsi" w:hAnsiTheme="majorHAnsi" w:cs="Times"/>
          <w:i/>
          <w:sz w:val="22"/>
          <w:szCs w:val="22"/>
          <w:lang w:val="fr-FR"/>
        </w:rPr>
        <w:t xml:space="preserve"> dans leurs priorités</w:t>
      </w:r>
      <w:r w:rsidR="00AF5557" w:rsidRPr="007D1026">
        <w:rPr>
          <w:rFonts w:asciiTheme="majorHAnsi" w:hAnsiTheme="majorHAnsi" w:cs="Times"/>
          <w:i/>
          <w:sz w:val="22"/>
          <w:szCs w:val="22"/>
          <w:lang w:val="fr-FR"/>
        </w:rPr>
        <w:t xml:space="preserve"> e</w:t>
      </w:r>
      <w:r w:rsidR="007D1026">
        <w:rPr>
          <w:rFonts w:asciiTheme="majorHAnsi" w:hAnsiTheme="majorHAnsi" w:cs="Times"/>
          <w:i/>
          <w:sz w:val="22"/>
          <w:szCs w:val="22"/>
          <w:lang w:val="fr-FR"/>
        </w:rPr>
        <w:t>t</w:t>
      </w:r>
      <w:r w:rsidR="00AF5557" w:rsidRPr="007D1026">
        <w:rPr>
          <w:rFonts w:asciiTheme="majorHAnsi" w:hAnsiTheme="majorHAnsi" w:cs="Times"/>
          <w:i/>
          <w:sz w:val="22"/>
          <w:szCs w:val="22"/>
          <w:lang w:val="fr-FR"/>
        </w:rPr>
        <w:t xml:space="preserve"> </w:t>
      </w:r>
      <w:r w:rsidR="00746787" w:rsidRPr="007D1026">
        <w:rPr>
          <w:rFonts w:asciiTheme="majorHAnsi" w:hAnsiTheme="majorHAnsi" w:cs="Times"/>
          <w:i/>
          <w:sz w:val="22"/>
          <w:szCs w:val="22"/>
          <w:lang w:val="fr-FR"/>
        </w:rPr>
        <w:t>repr</w:t>
      </w:r>
      <w:r w:rsidR="00746787">
        <w:rPr>
          <w:rFonts w:asciiTheme="majorHAnsi" w:hAnsiTheme="majorHAnsi" w:cs="Times"/>
          <w:i/>
          <w:sz w:val="22"/>
          <w:szCs w:val="22"/>
          <w:lang w:val="fr-FR"/>
        </w:rPr>
        <w:t>ésentant</w:t>
      </w:r>
      <w:r w:rsidR="00FF7FFA" w:rsidRPr="007D1026">
        <w:rPr>
          <w:rFonts w:asciiTheme="majorHAnsi" w:hAnsiTheme="majorHAnsi" w:cs="Times"/>
          <w:i/>
          <w:sz w:val="22"/>
          <w:szCs w:val="22"/>
          <w:lang w:val="fr-FR"/>
        </w:rPr>
        <w:t xml:space="preserve">, </w:t>
      </w:r>
      <w:r w:rsidR="007D1026">
        <w:rPr>
          <w:rFonts w:asciiTheme="majorHAnsi" w:hAnsiTheme="majorHAnsi" w:cs="Times"/>
          <w:i/>
          <w:sz w:val="22"/>
          <w:szCs w:val="22"/>
          <w:lang w:val="fr-FR"/>
        </w:rPr>
        <w:t>pour la plupart des gens</w:t>
      </w:r>
      <w:r w:rsidR="00AF5557" w:rsidRPr="007D1026">
        <w:rPr>
          <w:rFonts w:asciiTheme="majorHAnsi" w:hAnsiTheme="majorHAnsi" w:cs="Times"/>
          <w:i/>
          <w:sz w:val="22"/>
          <w:szCs w:val="22"/>
          <w:lang w:val="fr-FR"/>
        </w:rPr>
        <w:t xml:space="preserve">, </w:t>
      </w:r>
      <w:r w:rsidR="007B1E78">
        <w:rPr>
          <w:rFonts w:asciiTheme="majorHAnsi" w:hAnsiTheme="majorHAnsi" w:cs="Times"/>
          <w:i/>
          <w:sz w:val="22"/>
          <w:szCs w:val="22"/>
          <w:lang w:val="fr-FR"/>
        </w:rPr>
        <w:t>un espace privilégié</w:t>
      </w:r>
      <w:r w:rsidR="00AF5557" w:rsidRPr="007D1026">
        <w:rPr>
          <w:rFonts w:asciiTheme="majorHAnsi" w:hAnsiTheme="majorHAnsi" w:cs="Times"/>
          <w:i/>
          <w:sz w:val="22"/>
          <w:szCs w:val="22"/>
          <w:lang w:val="fr-FR"/>
        </w:rPr>
        <w:t xml:space="preserve"> e</w:t>
      </w:r>
      <w:r w:rsidR="007B1E78">
        <w:rPr>
          <w:rFonts w:asciiTheme="majorHAnsi" w:hAnsiTheme="majorHAnsi" w:cs="Times"/>
          <w:i/>
          <w:sz w:val="22"/>
          <w:szCs w:val="22"/>
          <w:lang w:val="fr-FR"/>
        </w:rPr>
        <w:t>t</w:t>
      </w:r>
      <w:r w:rsidR="00AF5557" w:rsidRPr="007D1026">
        <w:rPr>
          <w:rFonts w:asciiTheme="majorHAnsi" w:hAnsiTheme="majorHAnsi" w:cs="Times"/>
          <w:i/>
          <w:sz w:val="22"/>
          <w:szCs w:val="22"/>
          <w:lang w:val="fr-FR"/>
        </w:rPr>
        <w:t xml:space="preserve"> </w:t>
      </w:r>
      <w:r w:rsidR="00746787" w:rsidRPr="007D1026">
        <w:rPr>
          <w:rFonts w:asciiTheme="majorHAnsi" w:hAnsiTheme="majorHAnsi" w:cs="Times"/>
          <w:i/>
          <w:sz w:val="22"/>
          <w:szCs w:val="22"/>
          <w:lang w:val="fr-FR"/>
        </w:rPr>
        <w:t>i</w:t>
      </w:r>
      <w:r w:rsidR="00746787">
        <w:rPr>
          <w:rFonts w:asciiTheme="majorHAnsi" w:hAnsiTheme="majorHAnsi" w:cs="Times"/>
          <w:i/>
          <w:sz w:val="22"/>
          <w:szCs w:val="22"/>
          <w:lang w:val="fr-FR"/>
        </w:rPr>
        <w:t>rremplaçable</w:t>
      </w:r>
      <w:r w:rsidR="00AF5557" w:rsidRPr="007D1026">
        <w:rPr>
          <w:rFonts w:asciiTheme="majorHAnsi" w:hAnsiTheme="majorHAnsi" w:cs="Times"/>
          <w:i/>
          <w:sz w:val="22"/>
          <w:szCs w:val="22"/>
          <w:lang w:val="fr-FR"/>
        </w:rPr>
        <w:t xml:space="preserve"> de b</w:t>
      </w:r>
      <w:r w:rsidR="007B1E78">
        <w:rPr>
          <w:rFonts w:asciiTheme="majorHAnsi" w:hAnsiTheme="majorHAnsi" w:cs="Times"/>
          <w:i/>
          <w:sz w:val="22"/>
          <w:szCs w:val="22"/>
          <w:lang w:val="fr-FR"/>
        </w:rPr>
        <w:t>ien-être</w:t>
      </w:r>
      <w:r w:rsidR="00AF5557" w:rsidRPr="007D1026">
        <w:rPr>
          <w:rFonts w:asciiTheme="majorHAnsi" w:hAnsiTheme="majorHAnsi" w:cs="Times"/>
          <w:i/>
          <w:sz w:val="22"/>
          <w:szCs w:val="22"/>
          <w:lang w:val="fr-FR"/>
        </w:rPr>
        <w:t xml:space="preserve">, </w:t>
      </w:r>
      <w:r w:rsidR="007B1E78">
        <w:rPr>
          <w:rFonts w:asciiTheme="majorHAnsi" w:hAnsiTheme="majorHAnsi" w:cs="Times"/>
          <w:i/>
          <w:sz w:val="22"/>
          <w:szCs w:val="22"/>
          <w:lang w:val="fr-FR"/>
        </w:rPr>
        <w:t>bonheur</w:t>
      </w:r>
      <w:r w:rsidR="00AF5557" w:rsidRPr="007D1026">
        <w:rPr>
          <w:rFonts w:asciiTheme="majorHAnsi" w:hAnsiTheme="majorHAnsi" w:cs="Times"/>
          <w:i/>
          <w:sz w:val="22"/>
          <w:szCs w:val="22"/>
          <w:lang w:val="fr-FR"/>
        </w:rPr>
        <w:t>, confian</w:t>
      </w:r>
      <w:r w:rsidR="007B1E78">
        <w:rPr>
          <w:rFonts w:asciiTheme="majorHAnsi" w:hAnsiTheme="majorHAnsi" w:cs="Times"/>
          <w:i/>
          <w:sz w:val="22"/>
          <w:szCs w:val="22"/>
          <w:lang w:val="fr-FR"/>
        </w:rPr>
        <w:t>ce</w:t>
      </w:r>
      <w:r w:rsidR="00AF5557" w:rsidRPr="007D1026">
        <w:rPr>
          <w:rFonts w:asciiTheme="majorHAnsi" w:hAnsiTheme="majorHAnsi" w:cs="Times"/>
          <w:i/>
          <w:sz w:val="22"/>
          <w:szCs w:val="22"/>
          <w:lang w:val="fr-FR"/>
        </w:rPr>
        <w:t xml:space="preserve"> e</w:t>
      </w:r>
      <w:r w:rsidR="007B1E78">
        <w:rPr>
          <w:rFonts w:asciiTheme="majorHAnsi" w:hAnsiTheme="majorHAnsi" w:cs="Times"/>
          <w:i/>
          <w:sz w:val="22"/>
          <w:szCs w:val="22"/>
          <w:lang w:val="fr-FR"/>
        </w:rPr>
        <w:t xml:space="preserve">t </w:t>
      </w:r>
      <w:r w:rsidR="00AF5557" w:rsidRPr="007D1026">
        <w:rPr>
          <w:rFonts w:asciiTheme="majorHAnsi" w:hAnsiTheme="majorHAnsi" w:cs="Times"/>
          <w:i/>
          <w:sz w:val="22"/>
          <w:szCs w:val="22"/>
          <w:lang w:val="fr-FR"/>
        </w:rPr>
        <w:t>part</w:t>
      </w:r>
      <w:r w:rsidR="007B1E78">
        <w:rPr>
          <w:rFonts w:asciiTheme="majorHAnsi" w:hAnsiTheme="majorHAnsi" w:cs="Times"/>
          <w:i/>
          <w:sz w:val="22"/>
          <w:szCs w:val="22"/>
          <w:lang w:val="fr-FR"/>
        </w:rPr>
        <w:t>age</w:t>
      </w:r>
      <w:r w:rsidR="00AF5557" w:rsidRPr="007D1026">
        <w:rPr>
          <w:rFonts w:asciiTheme="majorHAnsi" w:hAnsiTheme="majorHAnsi" w:cs="Times"/>
          <w:i/>
          <w:sz w:val="22"/>
          <w:szCs w:val="22"/>
          <w:lang w:val="fr-FR"/>
        </w:rPr>
        <w:t>.</w:t>
      </w:r>
      <w:r w:rsidR="003973BB">
        <w:rPr>
          <w:rFonts w:asciiTheme="majorHAnsi" w:hAnsiTheme="majorHAnsi" w:cs="Times"/>
          <w:i/>
          <w:sz w:val="22"/>
          <w:szCs w:val="22"/>
          <w:lang w:val="fr-FR"/>
        </w:rPr>
        <w:t xml:space="preserve"> </w:t>
      </w:r>
      <w:r w:rsidR="00006281" w:rsidRPr="003973BB">
        <w:rPr>
          <w:rFonts w:asciiTheme="majorHAnsi" w:hAnsiTheme="majorHAnsi" w:cs="Times"/>
          <w:sz w:val="20"/>
          <w:szCs w:val="20"/>
        </w:rPr>
        <w:fldChar w:fldCharType="begin" w:fldLock="1"/>
      </w:r>
      <w:r w:rsidR="00041A2C" w:rsidRPr="003973BB">
        <w:rPr>
          <w:rFonts w:asciiTheme="majorHAnsi" w:hAnsiTheme="majorHAnsi" w:cs="Times"/>
          <w:sz w:val="20"/>
          <w:szCs w:val="20"/>
          <w:lang w:val="fr-FR"/>
        </w:rPr>
        <w:instrText>ADDIN CSL_CITATION { "citationItems" : [ { "id" : "ITEM-1", "itemData" : { "author" : [ { "dropping-particle" : "", "family" : "Carvalho", "given" : "Alda Caetano", "non-dropping-particle" : "", "parse-names" : false, "suffix" : "" } ], "container-title" : "Fam\u00edlias nos Censos 2011:Diversidade e Mudan\u00e7a", "editor" : [ { "dropping-particle" : "", "family" : "Delgado", "given" : "Anabela", "non-dropping-particle" : "", "parse-names" : false, "suffix" : "" }, { "dropping-particle" : "", "family" : "Wall", "given" : "Karin", "non-dropping-particle" : "", "parse-names" : false, "suffix" : "" } ], "id" : "ITEM-1", "issued" : { "date-parts" : [ [ "2014" ] ] }, "page" : "21-22", "publisher" : "Instituto Nacional de Estat\u00edstica/Imprensa de Ci\u00eancias Socias", "publisher-place" : "Lisboa", "title" : "Nota de Apresenta\u00e7\u00e3o", "type" : "chapter" }, "locator" : "21", "uris" : [ "http://www.mendeley.com/documents/?uuid=2778b1a1-0cd3-4a01-91d5-ce5c678a60ca" ] } ], "mendeley" : { "formattedCitation" : "(Carvalho, 2014, p. 21)", "plainTextFormattedCitation" : "(Carvalho, 2014, p. 21)", "previouslyFormattedCitation" : "(Carvalho, 2014, p. 21)" }, "properties" : { "noteIndex" : 0 }, "schema" : "https://github.com/citation-style-language/schema/raw/master/csl-citation.json" }</w:instrText>
      </w:r>
      <w:r w:rsidR="00006281" w:rsidRPr="003973BB">
        <w:rPr>
          <w:rFonts w:asciiTheme="majorHAnsi" w:hAnsiTheme="majorHAnsi" w:cs="Times"/>
          <w:sz w:val="20"/>
          <w:szCs w:val="20"/>
        </w:rPr>
        <w:fldChar w:fldCharType="separate"/>
      </w:r>
      <w:r w:rsidR="00443D6E" w:rsidRPr="003973BB">
        <w:rPr>
          <w:rFonts w:asciiTheme="majorHAnsi" w:hAnsiTheme="majorHAnsi" w:cs="Times"/>
          <w:noProof/>
          <w:sz w:val="20"/>
          <w:szCs w:val="20"/>
          <w:lang w:val="fr-FR"/>
        </w:rPr>
        <w:t>(Carvalho, 2014, p. 21)</w:t>
      </w:r>
      <w:r w:rsidR="00006281" w:rsidRPr="003973BB">
        <w:rPr>
          <w:rFonts w:asciiTheme="majorHAnsi" w:hAnsiTheme="majorHAnsi" w:cs="Times"/>
          <w:sz w:val="20"/>
          <w:szCs w:val="20"/>
        </w:rPr>
        <w:fldChar w:fldCharType="end"/>
      </w:r>
    </w:p>
    <w:p w14:paraId="36CB5BA6" w14:textId="77777777" w:rsidR="00AF5557" w:rsidRPr="003973BB" w:rsidRDefault="00AF5557" w:rsidP="003973BB">
      <w:pPr>
        <w:ind w:left="851"/>
        <w:rPr>
          <w:sz w:val="20"/>
          <w:szCs w:val="20"/>
          <w:lang w:val="fr-FR"/>
        </w:rPr>
      </w:pPr>
    </w:p>
    <w:p w14:paraId="3287D2A9" w14:textId="77777777" w:rsidR="004C5A34" w:rsidRPr="00EA333F" w:rsidRDefault="00BC5ED9" w:rsidP="00993DD1">
      <w:pPr>
        <w:jc w:val="both"/>
        <w:rPr>
          <w:rFonts w:asciiTheme="majorHAnsi" w:hAnsiTheme="majorHAnsi"/>
          <w:strike/>
          <w:lang w:val="fr-FR"/>
        </w:rPr>
      </w:pPr>
      <w:r w:rsidRPr="00EE2F35">
        <w:rPr>
          <w:rFonts w:asciiTheme="majorHAnsi" w:hAnsiTheme="majorHAnsi"/>
          <w:lang w:val="fr-FR"/>
        </w:rPr>
        <w:t>Au</w:t>
      </w:r>
      <w:r w:rsidR="003817AC" w:rsidRPr="00EE2F35">
        <w:rPr>
          <w:rFonts w:asciiTheme="majorHAnsi" w:hAnsiTheme="majorHAnsi"/>
          <w:lang w:val="fr-FR"/>
        </w:rPr>
        <w:t xml:space="preserve"> Portugal, </w:t>
      </w:r>
      <w:r w:rsidRPr="00EE2F35">
        <w:rPr>
          <w:rFonts w:asciiTheme="majorHAnsi" w:hAnsiTheme="majorHAnsi"/>
          <w:lang w:val="fr-FR"/>
        </w:rPr>
        <w:t xml:space="preserve">il est </w:t>
      </w:r>
      <w:r w:rsidR="00FF7FFA" w:rsidRPr="00EE2F35">
        <w:rPr>
          <w:rFonts w:asciiTheme="majorHAnsi" w:hAnsiTheme="majorHAnsi"/>
          <w:lang w:val="fr-FR"/>
        </w:rPr>
        <w:t xml:space="preserve">paradoxal </w:t>
      </w:r>
      <w:r w:rsidRPr="00EE2F35">
        <w:rPr>
          <w:rFonts w:asciiTheme="majorHAnsi" w:hAnsiTheme="majorHAnsi"/>
          <w:lang w:val="fr-FR"/>
        </w:rPr>
        <w:t xml:space="preserve">de constater qu’à </w:t>
      </w:r>
      <w:r w:rsidR="00FF7FFA" w:rsidRPr="00EE2F35">
        <w:rPr>
          <w:rFonts w:asciiTheme="majorHAnsi" w:hAnsiTheme="majorHAnsi"/>
          <w:lang w:val="fr-FR"/>
        </w:rPr>
        <w:t>u</w:t>
      </w:r>
      <w:r w:rsidRPr="00EE2F35">
        <w:rPr>
          <w:rFonts w:asciiTheme="majorHAnsi" w:hAnsiTheme="majorHAnsi"/>
          <w:lang w:val="fr-FR"/>
        </w:rPr>
        <w:t xml:space="preserve">n </w:t>
      </w:r>
      <w:r w:rsidR="00FF7FFA" w:rsidRPr="00EE2F35">
        <w:rPr>
          <w:rFonts w:asciiTheme="majorHAnsi" w:hAnsiTheme="majorHAnsi"/>
          <w:lang w:val="fr-FR"/>
        </w:rPr>
        <w:t>moment</w:t>
      </w:r>
      <w:r w:rsidRPr="00EE2F35">
        <w:rPr>
          <w:rFonts w:asciiTheme="majorHAnsi" w:hAnsiTheme="majorHAnsi"/>
          <w:lang w:val="fr-FR"/>
        </w:rPr>
        <w:t xml:space="preserve"> où on parle </w:t>
      </w:r>
      <w:r w:rsidR="001F2682" w:rsidRPr="00EE2F35">
        <w:rPr>
          <w:rFonts w:asciiTheme="majorHAnsi" w:hAnsiTheme="majorHAnsi"/>
          <w:lang w:val="fr-FR"/>
        </w:rPr>
        <w:t>tant d</w:t>
      </w:r>
      <w:r w:rsidRPr="00EE2F35">
        <w:rPr>
          <w:rFonts w:asciiTheme="majorHAnsi" w:hAnsiTheme="majorHAnsi"/>
          <w:lang w:val="fr-FR"/>
        </w:rPr>
        <w:t>e l</w:t>
      </w:r>
      <w:r w:rsidR="001F2682" w:rsidRPr="00EE2F35">
        <w:rPr>
          <w:rFonts w:asciiTheme="majorHAnsi" w:hAnsiTheme="majorHAnsi"/>
          <w:lang w:val="fr-FR"/>
        </w:rPr>
        <w:t>a fam</w:t>
      </w:r>
      <w:r w:rsidRPr="00EE2F35">
        <w:rPr>
          <w:rFonts w:asciiTheme="majorHAnsi" w:hAnsiTheme="majorHAnsi"/>
          <w:lang w:val="fr-FR"/>
        </w:rPr>
        <w:t>ille</w:t>
      </w:r>
      <w:r w:rsidR="00D445B8">
        <w:rPr>
          <w:rFonts w:asciiTheme="majorHAnsi" w:hAnsiTheme="majorHAnsi"/>
          <w:lang w:val="fr-FR"/>
        </w:rPr>
        <w:t xml:space="preserve">, </w:t>
      </w:r>
      <w:r w:rsidR="00375074">
        <w:rPr>
          <w:rFonts w:asciiTheme="majorHAnsi" w:hAnsiTheme="majorHAnsi"/>
          <w:lang w:val="fr-FR"/>
        </w:rPr>
        <w:t>soulignant</w:t>
      </w:r>
      <w:r w:rsidR="00EE2F35" w:rsidRPr="00EE2F35">
        <w:rPr>
          <w:rFonts w:asciiTheme="majorHAnsi" w:hAnsiTheme="majorHAnsi"/>
          <w:lang w:val="fr-FR"/>
        </w:rPr>
        <w:t xml:space="preserve"> son rôle dans la société et </w:t>
      </w:r>
      <w:r w:rsidR="00EE2F35">
        <w:rPr>
          <w:rFonts w:asciiTheme="majorHAnsi" w:hAnsiTheme="majorHAnsi"/>
          <w:lang w:val="fr-FR"/>
        </w:rPr>
        <w:t>réclamant du</w:t>
      </w:r>
      <w:r w:rsidR="00EE2F35" w:rsidRPr="00EE2F35">
        <w:rPr>
          <w:rFonts w:asciiTheme="majorHAnsi" w:hAnsiTheme="majorHAnsi"/>
          <w:lang w:val="fr-FR"/>
        </w:rPr>
        <w:t xml:space="preserve"> vide auquel elle </w:t>
      </w:r>
      <w:r w:rsidR="00375074">
        <w:rPr>
          <w:rFonts w:asciiTheme="majorHAnsi" w:hAnsiTheme="majorHAnsi"/>
          <w:lang w:val="fr-FR"/>
        </w:rPr>
        <w:t>a été</w:t>
      </w:r>
      <w:r w:rsidR="00EE2F35" w:rsidRPr="00EE2F35">
        <w:rPr>
          <w:rFonts w:asciiTheme="majorHAnsi" w:hAnsiTheme="majorHAnsi"/>
          <w:lang w:val="fr-FR"/>
        </w:rPr>
        <w:t xml:space="preserve"> vou</w:t>
      </w:r>
      <w:r w:rsidR="00D445B8">
        <w:rPr>
          <w:rFonts w:asciiTheme="majorHAnsi" w:hAnsiTheme="majorHAnsi"/>
          <w:lang w:val="fr-FR"/>
        </w:rPr>
        <w:t xml:space="preserve">ée, </w:t>
      </w:r>
      <w:r w:rsidR="00BD1892" w:rsidRPr="00C54560">
        <w:rPr>
          <w:rFonts w:asciiTheme="majorHAnsi" w:hAnsiTheme="majorHAnsi"/>
          <w:lang w:val="fr-FR"/>
        </w:rPr>
        <w:t xml:space="preserve">on </w:t>
      </w:r>
      <w:r w:rsidR="00E3744F">
        <w:rPr>
          <w:rFonts w:asciiTheme="majorHAnsi" w:hAnsiTheme="majorHAnsi"/>
          <w:lang w:val="fr-FR"/>
        </w:rPr>
        <w:t>ne</w:t>
      </w:r>
      <w:r w:rsidR="00A70B2A">
        <w:rPr>
          <w:rFonts w:asciiTheme="majorHAnsi" w:hAnsiTheme="majorHAnsi"/>
          <w:lang w:val="fr-FR"/>
        </w:rPr>
        <w:t xml:space="preserve"> </w:t>
      </w:r>
      <w:r w:rsidR="00E3744F">
        <w:rPr>
          <w:rFonts w:asciiTheme="majorHAnsi" w:hAnsiTheme="majorHAnsi"/>
          <w:lang w:val="fr-FR"/>
        </w:rPr>
        <w:t xml:space="preserve">considère </w:t>
      </w:r>
      <w:r w:rsidR="00A70B2A">
        <w:rPr>
          <w:rFonts w:asciiTheme="majorHAnsi" w:hAnsiTheme="majorHAnsi"/>
          <w:lang w:val="fr-FR"/>
        </w:rPr>
        <w:t>pas</w:t>
      </w:r>
      <w:r w:rsidR="00BD1892">
        <w:rPr>
          <w:rFonts w:asciiTheme="majorHAnsi" w:hAnsiTheme="majorHAnsi"/>
          <w:lang w:val="fr-FR"/>
        </w:rPr>
        <w:t xml:space="preserve"> </w:t>
      </w:r>
      <w:r w:rsidR="00D445B8">
        <w:rPr>
          <w:rFonts w:asciiTheme="majorHAnsi" w:hAnsiTheme="majorHAnsi"/>
          <w:lang w:val="fr-FR"/>
        </w:rPr>
        <w:t>l</w:t>
      </w:r>
      <w:r w:rsidR="003817AC" w:rsidRPr="00EE2F35">
        <w:rPr>
          <w:rFonts w:asciiTheme="majorHAnsi" w:hAnsiTheme="majorHAnsi"/>
          <w:lang w:val="fr-FR"/>
        </w:rPr>
        <w:t>a mobili</w:t>
      </w:r>
      <w:r w:rsidR="00D445B8">
        <w:rPr>
          <w:rFonts w:asciiTheme="majorHAnsi" w:hAnsiTheme="majorHAnsi"/>
          <w:lang w:val="fr-FR"/>
        </w:rPr>
        <w:t>té</w:t>
      </w:r>
      <w:r w:rsidR="003817AC" w:rsidRPr="00EE2F35">
        <w:rPr>
          <w:rFonts w:asciiTheme="majorHAnsi" w:hAnsiTheme="majorHAnsi"/>
          <w:lang w:val="fr-FR"/>
        </w:rPr>
        <w:t xml:space="preserve"> familia</w:t>
      </w:r>
      <w:r w:rsidR="00D445B8">
        <w:rPr>
          <w:rFonts w:asciiTheme="majorHAnsi" w:hAnsiTheme="majorHAnsi"/>
          <w:lang w:val="fr-FR"/>
        </w:rPr>
        <w:t>le</w:t>
      </w:r>
      <w:r w:rsidR="003817AC" w:rsidRPr="00EE2F35">
        <w:rPr>
          <w:rFonts w:asciiTheme="majorHAnsi" w:hAnsiTheme="majorHAnsi"/>
          <w:lang w:val="fr-FR"/>
        </w:rPr>
        <w:t>.</w:t>
      </w:r>
      <w:r w:rsidR="00720AB7">
        <w:rPr>
          <w:rFonts w:asciiTheme="majorHAnsi" w:hAnsiTheme="majorHAnsi"/>
          <w:lang w:val="fr-FR"/>
        </w:rPr>
        <w:t xml:space="preserve"> Parmi les différents domaines de la vie familiale, les migrations</w:t>
      </w:r>
      <w:r w:rsidR="003817AC" w:rsidRPr="00EE2F35">
        <w:rPr>
          <w:rFonts w:asciiTheme="majorHAnsi" w:hAnsiTheme="majorHAnsi"/>
          <w:lang w:val="fr-FR"/>
        </w:rPr>
        <w:t xml:space="preserve"> </w:t>
      </w:r>
      <w:r w:rsidR="00A70B2A" w:rsidRPr="00E3744F">
        <w:rPr>
          <w:rFonts w:asciiTheme="majorHAnsi" w:hAnsiTheme="majorHAnsi"/>
          <w:lang w:val="fr-FR"/>
        </w:rPr>
        <w:t>entrainent</w:t>
      </w:r>
      <w:r w:rsidR="00A70B2A">
        <w:rPr>
          <w:rFonts w:asciiTheme="majorHAnsi" w:hAnsiTheme="majorHAnsi"/>
          <w:lang w:val="fr-FR"/>
        </w:rPr>
        <w:t xml:space="preserve"> </w:t>
      </w:r>
      <w:r w:rsidR="00720AB7">
        <w:rPr>
          <w:rFonts w:asciiTheme="majorHAnsi" w:hAnsiTheme="majorHAnsi"/>
          <w:lang w:val="fr-FR"/>
        </w:rPr>
        <w:t xml:space="preserve">de profondes implications </w:t>
      </w:r>
      <w:r w:rsidR="00720AB7" w:rsidRPr="00E84ED3">
        <w:rPr>
          <w:rFonts w:asciiTheme="majorHAnsi" w:hAnsiTheme="majorHAnsi"/>
          <w:lang w:val="fr-FR"/>
        </w:rPr>
        <w:t>soit</w:t>
      </w:r>
      <w:r w:rsidR="00720AB7">
        <w:rPr>
          <w:rFonts w:asciiTheme="majorHAnsi" w:hAnsiTheme="majorHAnsi"/>
          <w:lang w:val="fr-FR"/>
        </w:rPr>
        <w:t xml:space="preserve"> au </w:t>
      </w:r>
      <w:r w:rsidR="00993DD1" w:rsidRPr="00993DD1">
        <w:rPr>
          <w:rFonts w:asciiTheme="majorHAnsi" w:hAnsiTheme="majorHAnsi"/>
          <w:lang w:val="fr-FR"/>
        </w:rPr>
        <w:t>quotidien</w:t>
      </w:r>
      <w:r w:rsidR="004C5A34" w:rsidRPr="00993DD1">
        <w:rPr>
          <w:rFonts w:asciiTheme="majorHAnsi" w:hAnsiTheme="majorHAnsi"/>
          <w:lang w:val="fr-FR"/>
        </w:rPr>
        <w:t xml:space="preserve"> </w:t>
      </w:r>
      <w:r w:rsidR="00993DD1" w:rsidRPr="00993DD1">
        <w:rPr>
          <w:rFonts w:asciiTheme="majorHAnsi" w:hAnsiTheme="majorHAnsi"/>
          <w:lang w:val="fr-FR"/>
        </w:rPr>
        <w:t xml:space="preserve">dans le </w:t>
      </w:r>
      <w:r w:rsidR="004C5A34" w:rsidRPr="00993DD1">
        <w:rPr>
          <w:rFonts w:asciiTheme="majorHAnsi" w:hAnsiTheme="majorHAnsi"/>
          <w:lang w:val="fr-FR"/>
        </w:rPr>
        <w:t>dom</w:t>
      </w:r>
      <w:r w:rsidR="00D445B8" w:rsidRPr="00993DD1">
        <w:rPr>
          <w:rFonts w:asciiTheme="majorHAnsi" w:hAnsiTheme="majorHAnsi"/>
          <w:lang w:val="fr-FR"/>
        </w:rPr>
        <w:t>aine</w:t>
      </w:r>
      <w:r w:rsidR="004C5A34" w:rsidRPr="00993DD1">
        <w:rPr>
          <w:rFonts w:asciiTheme="majorHAnsi" w:hAnsiTheme="majorHAnsi"/>
          <w:lang w:val="fr-FR"/>
        </w:rPr>
        <w:t xml:space="preserve"> pe</w:t>
      </w:r>
      <w:r w:rsidR="00D445B8" w:rsidRPr="00993DD1">
        <w:rPr>
          <w:rFonts w:asciiTheme="majorHAnsi" w:hAnsiTheme="majorHAnsi"/>
          <w:lang w:val="fr-FR"/>
        </w:rPr>
        <w:t>rsonnel</w:t>
      </w:r>
      <w:r w:rsidR="00E84ED3">
        <w:rPr>
          <w:rFonts w:asciiTheme="majorHAnsi" w:hAnsiTheme="majorHAnsi"/>
          <w:lang w:val="fr-FR"/>
        </w:rPr>
        <w:t>,</w:t>
      </w:r>
      <w:r w:rsidR="00E3744F">
        <w:rPr>
          <w:rFonts w:asciiTheme="majorHAnsi" w:hAnsiTheme="majorHAnsi"/>
          <w:lang w:val="fr-FR"/>
        </w:rPr>
        <w:t xml:space="preserve"> </w:t>
      </w:r>
      <w:proofErr w:type="gramStart"/>
      <w:r w:rsidR="00E3744F">
        <w:rPr>
          <w:rFonts w:asciiTheme="majorHAnsi" w:hAnsiTheme="majorHAnsi"/>
          <w:lang w:val="fr-FR"/>
        </w:rPr>
        <w:t>soit</w:t>
      </w:r>
      <w:proofErr w:type="gramEnd"/>
      <w:r w:rsidR="00E3744F">
        <w:rPr>
          <w:rFonts w:asciiTheme="majorHAnsi" w:hAnsiTheme="majorHAnsi"/>
          <w:lang w:val="fr-FR"/>
        </w:rPr>
        <w:t xml:space="preserve"> dans le domaine</w:t>
      </w:r>
      <w:r w:rsidR="00D015B5">
        <w:rPr>
          <w:rFonts w:asciiTheme="majorHAnsi" w:hAnsiTheme="majorHAnsi"/>
          <w:lang w:val="fr-FR"/>
        </w:rPr>
        <w:t xml:space="preserve"> </w:t>
      </w:r>
      <w:r w:rsidR="00261684">
        <w:rPr>
          <w:rFonts w:asciiTheme="majorHAnsi" w:hAnsiTheme="majorHAnsi"/>
          <w:lang w:val="fr-FR"/>
        </w:rPr>
        <w:t>collectif</w:t>
      </w:r>
      <w:r w:rsidR="004C5A34" w:rsidRPr="00993DD1">
        <w:rPr>
          <w:rFonts w:asciiTheme="majorHAnsi" w:hAnsiTheme="majorHAnsi"/>
          <w:lang w:val="fr-FR"/>
        </w:rPr>
        <w:t xml:space="preserve"> de</w:t>
      </w:r>
      <w:r w:rsidR="00D445B8" w:rsidRPr="00993DD1">
        <w:rPr>
          <w:rFonts w:asciiTheme="majorHAnsi" w:hAnsiTheme="majorHAnsi"/>
          <w:lang w:val="fr-FR"/>
        </w:rPr>
        <w:t xml:space="preserve"> la</w:t>
      </w:r>
      <w:r w:rsidR="004C5A34" w:rsidRPr="00993DD1">
        <w:rPr>
          <w:rFonts w:asciiTheme="majorHAnsi" w:hAnsiTheme="majorHAnsi"/>
          <w:lang w:val="fr-FR"/>
        </w:rPr>
        <w:t xml:space="preserve"> vi</w:t>
      </w:r>
      <w:r w:rsidR="00D445B8" w:rsidRPr="00993DD1">
        <w:rPr>
          <w:rFonts w:asciiTheme="majorHAnsi" w:hAnsiTheme="majorHAnsi"/>
          <w:lang w:val="fr-FR"/>
        </w:rPr>
        <w:t>e</w:t>
      </w:r>
      <w:r w:rsidR="004C5A34" w:rsidRPr="00993DD1">
        <w:rPr>
          <w:rFonts w:asciiTheme="majorHAnsi" w:hAnsiTheme="majorHAnsi"/>
          <w:lang w:val="fr-FR"/>
        </w:rPr>
        <w:t xml:space="preserve"> e</w:t>
      </w:r>
      <w:r w:rsidR="00D445B8" w:rsidRPr="00993DD1">
        <w:rPr>
          <w:rFonts w:asciiTheme="majorHAnsi" w:hAnsiTheme="majorHAnsi"/>
          <w:lang w:val="fr-FR"/>
        </w:rPr>
        <w:t>t</w:t>
      </w:r>
      <w:r w:rsidR="004C5A34" w:rsidRPr="00993DD1">
        <w:rPr>
          <w:rFonts w:asciiTheme="majorHAnsi" w:hAnsiTheme="majorHAnsi"/>
          <w:lang w:val="fr-FR"/>
        </w:rPr>
        <w:t xml:space="preserve"> a</w:t>
      </w:r>
      <w:r w:rsidR="00D445B8" w:rsidRPr="00993DD1">
        <w:rPr>
          <w:rFonts w:asciiTheme="majorHAnsi" w:hAnsiTheme="majorHAnsi"/>
          <w:lang w:val="fr-FR"/>
        </w:rPr>
        <w:t>u</w:t>
      </w:r>
      <w:r w:rsidR="004C5A34" w:rsidRPr="00993DD1">
        <w:rPr>
          <w:rFonts w:asciiTheme="majorHAnsi" w:hAnsiTheme="majorHAnsi"/>
          <w:lang w:val="fr-FR"/>
        </w:rPr>
        <w:t xml:space="preserve"> </w:t>
      </w:r>
      <w:r w:rsidR="00261684" w:rsidRPr="00993DD1">
        <w:rPr>
          <w:rFonts w:asciiTheme="majorHAnsi" w:hAnsiTheme="majorHAnsi"/>
          <w:lang w:val="fr-FR"/>
        </w:rPr>
        <w:t>niveau</w:t>
      </w:r>
      <w:r w:rsidR="004C5A34" w:rsidRPr="00993DD1">
        <w:rPr>
          <w:rFonts w:asciiTheme="majorHAnsi" w:hAnsiTheme="majorHAnsi"/>
          <w:lang w:val="fr-FR"/>
        </w:rPr>
        <w:t xml:space="preserve"> d</w:t>
      </w:r>
      <w:r w:rsidR="00D445B8" w:rsidRPr="00993DD1">
        <w:rPr>
          <w:rFonts w:asciiTheme="majorHAnsi" w:hAnsiTheme="majorHAnsi"/>
          <w:lang w:val="fr-FR"/>
        </w:rPr>
        <w:t xml:space="preserve">e </w:t>
      </w:r>
      <w:r w:rsidR="00261684" w:rsidRPr="00993DD1">
        <w:rPr>
          <w:rFonts w:asciiTheme="majorHAnsi" w:hAnsiTheme="majorHAnsi"/>
          <w:lang w:val="fr-FR"/>
        </w:rPr>
        <w:t>l’intervention</w:t>
      </w:r>
      <w:r w:rsidR="004C5A34" w:rsidRPr="00993DD1">
        <w:rPr>
          <w:rFonts w:asciiTheme="majorHAnsi" w:hAnsiTheme="majorHAnsi"/>
          <w:lang w:val="fr-FR"/>
        </w:rPr>
        <w:t xml:space="preserve"> </w:t>
      </w:r>
      <w:r w:rsidR="00261684" w:rsidRPr="00993DD1">
        <w:rPr>
          <w:rFonts w:asciiTheme="majorHAnsi" w:hAnsiTheme="majorHAnsi"/>
          <w:lang w:val="fr-FR"/>
        </w:rPr>
        <w:t>publique</w:t>
      </w:r>
      <w:r w:rsidR="004C5A34" w:rsidRPr="00993DD1">
        <w:rPr>
          <w:rFonts w:asciiTheme="majorHAnsi" w:hAnsiTheme="majorHAnsi"/>
          <w:lang w:val="fr-FR"/>
        </w:rPr>
        <w:t xml:space="preserve">. </w:t>
      </w:r>
      <w:r w:rsidR="00D015B5" w:rsidRPr="00261684">
        <w:rPr>
          <w:rFonts w:asciiTheme="majorHAnsi" w:hAnsiTheme="majorHAnsi"/>
          <w:lang w:val="fr-FR"/>
        </w:rPr>
        <w:t>Le débat sur le rôle de l’État dans le soutien à la famille dans la société portugaise</w:t>
      </w:r>
      <w:r w:rsidR="00261684" w:rsidRPr="00261684">
        <w:rPr>
          <w:rFonts w:asciiTheme="majorHAnsi" w:hAnsiTheme="majorHAnsi"/>
          <w:lang w:val="fr-FR"/>
        </w:rPr>
        <w:t>, a augmenté en raison du vieillissement de</w:t>
      </w:r>
      <w:r w:rsidR="00261684">
        <w:rPr>
          <w:rFonts w:asciiTheme="majorHAnsi" w:hAnsiTheme="majorHAnsi"/>
          <w:lang w:val="fr-FR"/>
        </w:rPr>
        <w:t xml:space="preserve"> </w:t>
      </w:r>
      <w:r w:rsidR="00261684" w:rsidRPr="00261684">
        <w:rPr>
          <w:rFonts w:asciiTheme="majorHAnsi" w:hAnsiTheme="majorHAnsi"/>
          <w:lang w:val="fr-FR"/>
        </w:rPr>
        <w:t xml:space="preserve">la population et </w:t>
      </w:r>
      <w:r w:rsidR="00261684">
        <w:rPr>
          <w:rFonts w:asciiTheme="majorHAnsi" w:hAnsiTheme="majorHAnsi"/>
          <w:lang w:val="fr-FR"/>
        </w:rPr>
        <w:t>d</w:t>
      </w:r>
      <w:r w:rsidR="00261684" w:rsidRPr="00261684">
        <w:rPr>
          <w:rFonts w:asciiTheme="majorHAnsi" w:hAnsiTheme="majorHAnsi"/>
          <w:lang w:val="fr-FR"/>
        </w:rPr>
        <w:t>es répercussions socio</w:t>
      </w:r>
      <w:r w:rsidR="00261684">
        <w:rPr>
          <w:rFonts w:asciiTheme="majorHAnsi" w:hAnsiTheme="majorHAnsi"/>
          <w:lang w:val="fr-FR"/>
        </w:rPr>
        <w:t>d</w:t>
      </w:r>
      <w:r w:rsidR="00261684" w:rsidRPr="00261684">
        <w:rPr>
          <w:rFonts w:asciiTheme="majorHAnsi" w:hAnsiTheme="majorHAnsi"/>
          <w:lang w:val="fr-FR"/>
        </w:rPr>
        <w:t>é</w:t>
      </w:r>
      <w:r w:rsidR="00261684">
        <w:rPr>
          <w:rFonts w:asciiTheme="majorHAnsi" w:hAnsiTheme="majorHAnsi"/>
          <w:lang w:val="fr-FR"/>
        </w:rPr>
        <w:t>mographiques résultant de ces dernières années de crise économique.</w:t>
      </w:r>
      <w:r w:rsidR="00261684" w:rsidRPr="00261684">
        <w:rPr>
          <w:rFonts w:asciiTheme="majorHAnsi" w:hAnsiTheme="majorHAnsi"/>
          <w:lang w:val="fr-FR"/>
        </w:rPr>
        <w:t xml:space="preserve"> </w:t>
      </w:r>
      <w:r w:rsidR="00261684" w:rsidRPr="00ED437B">
        <w:rPr>
          <w:rFonts w:asciiTheme="majorHAnsi" w:hAnsiTheme="majorHAnsi"/>
          <w:lang w:val="fr-FR"/>
        </w:rPr>
        <w:t>Le vieillissement de la population apparait avec un</w:t>
      </w:r>
      <w:r w:rsidR="00ED437B">
        <w:rPr>
          <w:rFonts w:asciiTheme="majorHAnsi" w:hAnsiTheme="majorHAnsi"/>
          <w:lang w:val="fr-FR"/>
        </w:rPr>
        <w:t>e</w:t>
      </w:r>
      <w:r w:rsidR="00261684" w:rsidRPr="00ED437B">
        <w:rPr>
          <w:rFonts w:asciiTheme="majorHAnsi" w:hAnsiTheme="majorHAnsi"/>
          <w:lang w:val="fr-FR"/>
        </w:rPr>
        <w:t xml:space="preserve"> intensité croissante</w:t>
      </w:r>
      <w:r w:rsidR="00ED437B" w:rsidRPr="00ED437B">
        <w:rPr>
          <w:rFonts w:asciiTheme="majorHAnsi" w:hAnsiTheme="majorHAnsi"/>
          <w:lang w:val="fr-FR"/>
        </w:rPr>
        <w:t xml:space="preserve">, attendu la baisse de la natalité </w:t>
      </w:r>
      <w:r w:rsidR="00C54560" w:rsidRPr="00ED437B">
        <w:rPr>
          <w:rFonts w:asciiTheme="majorHAnsi" w:hAnsiTheme="majorHAnsi"/>
          <w:lang w:val="fr-FR"/>
        </w:rPr>
        <w:t xml:space="preserve">d’une part </w:t>
      </w:r>
      <w:r w:rsidR="00ED437B" w:rsidRPr="00ED437B">
        <w:rPr>
          <w:rFonts w:asciiTheme="majorHAnsi" w:hAnsiTheme="majorHAnsi"/>
          <w:lang w:val="fr-FR"/>
        </w:rPr>
        <w:t>et d’autre part l’augmentation de l’émigration de jeunes à l’âge actif, en plus de l’augmentation</w:t>
      </w:r>
      <w:r w:rsidR="00ED437B">
        <w:rPr>
          <w:rFonts w:asciiTheme="majorHAnsi" w:hAnsiTheme="majorHAnsi"/>
          <w:lang w:val="fr-FR"/>
        </w:rPr>
        <w:t xml:space="preserve"> normale</w:t>
      </w:r>
      <w:r w:rsidR="00ED437B" w:rsidRPr="00ED437B">
        <w:rPr>
          <w:rFonts w:asciiTheme="majorHAnsi" w:hAnsiTheme="majorHAnsi"/>
          <w:lang w:val="fr-FR"/>
        </w:rPr>
        <w:t xml:space="preserve"> de la long</w:t>
      </w:r>
      <w:r w:rsidR="00ED437B">
        <w:rPr>
          <w:rFonts w:asciiTheme="majorHAnsi" w:hAnsiTheme="majorHAnsi"/>
          <w:lang w:val="fr-FR"/>
        </w:rPr>
        <w:t>évité.</w:t>
      </w:r>
      <w:r w:rsidR="00ED437B" w:rsidRPr="00ED437B">
        <w:rPr>
          <w:rFonts w:asciiTheme="majorHAnsi" w:hAnsiTheme="majorHAnsi"/>
          <w:lang w:val="fr-FR"/>
        </w:rPr>
        <w:t xml:space="preserve">  </w:t>
      </w:r>
    </w:p>
    <w:p w14:paraId="1FA971B1" w14:textId="77777777" w:rsidR="004C5A34" w:rsidRPr="00791798" w:rsidRDefault="004C5A34" w:rsidP="004C5A34">
      <w:pPr>
        <w:spacing w:after="120"/>
        <w:jc w:val="both"/>
        <w:rPr>
          <w:rFonts w:asciiTheme="majorHAnsi" w:hAnsiTheme="majorHAnsi"/>
          <w:lang w:val="fr-FR"/>
        </w:rPr>
      </w:pPr>
      <w:r w:rsidRPr="00C52FFE">
        <w:rPr>
          <w:rFonts w:asciiTheme="majorHAnsi" w:hAnsiTheme="majorHAnsi"/>
          <w:lang w:val="fr-FR"/>
        </w:rPr>
        <w:t>D</w:t>
      </w:r>
      <w:r w:rsidR="00C76A60" w:rsidRPr="00C52FFE">
        <w:rPr>
          <w:rFonts w:asciiTheme="majorHAnsi" w:hAnsiTheme="majorHAnsi"/>
          <w:lang w:val="fr-FR"/>
        </w:rPr>
        <w:t>u</w:t>
      </w:r>
      <w:r w:rsidRPr="00C52FFE">
        <w:rPr>
          <w:rFonts w:asciiTheme="majorHAnsi" w:hAnsiTheme="majorHAnsi"/>
          <w:lang w:val="fr-FR"/>
        </w:rPr>
        <w:t xml:space="preserve"> po</w:t>
      </w:r>
      <w:r w:rsidR="00C76A60" w:rsidRPr="00C52FFE">
        <w:rPr>
          <w:rFonts w:asciiTheme="majorHAnsi" w:hAnsiTheme="majorHAnsi"/>
          <w:lang w:val="fr-FR"/>
        </w:rPr>
        <w:t>i</w:t>
      </w:r>
      <w:r w:rsidRPr="00C52FFE">
        <w:rPr>
          <w:rFonts w:asciiTheme="majorHAnsi" w:hAnsiTheme="majorHAnsi"/>
          <w:lang w:val="fr-FR"/>
        </w:rPr>
        <w:t xml:space="preserve">nt de </w:t>
      </w:r>
      <w:r w:rsidR="0036339C" w:rsidRPr="00C52FFE">
        <w:rPr>
          <w:rFonts w:asciiTheme="majorHAnsi" w:hAnsiTheme="majorHAnsi"/>
          <w:lang w:val="fr-FR"/>
        </w:rPr>
        <w:t>vue politique</w:t>
      </w:r>
      <w:r w:rsidR="00C52FFE" w:rsidRPr="00C52FFE">
        <w:rPr>
          <w:rFonts w:asciiTheme="majorHAnsi" w:hAnsiTheme="majorHAnsi"/>
          <w:lang w:val="fr-FR"/>
        </w:rPr>
        <w:t>,</w:t>
      </w:r>
      <w:r w:rsidRPr="00C52FFE">
        <w:rPr>
          <w:rFonts w:asciiTheme="majorHAnsi" w:hAnsiTheme="majorHAnsi"/>
          <w:lang w:val="fr-FR"/>
        </w:rPr>
        <w:t xml:space="preserve"> </w:t>
      </w:r>
      <w:r w:rsidR="00C76A60" w:rsidRPr="00C52FFE">
        <w:rPr>
          <w:rFonts w:asciiTheme="majorHAnsi" w:hAnsiTheme="majorHAnsi"/>
          <w:lang w:val="fr-FR"/>
        </w:rPr>
        <w:t>les</w:t>
      </w:r>
      <w:r w:rsidRPr="00C52FFE">
        <w:rPr>
          <w:rFonts w:asciiTheme="majorHAnsi" w:hAnsiTheme="majorHAnsi"/>
          <w:lang w:val="fr-FR"/>
        </w:rPr>
        <w:t xml:space="preserve"> </w:t>
      </w:r>
      <w:r w:rsidR="00C52FFE" w:rsidRPr="00C52FFE">
        <w:rPr>
          <w:rFonts w:asciiTheme="majorHAnsi" w:hAnsiTheme="majorHAnsi"/>
          <w:lang w:val="fr-FR"/>
        </w:rPr>
        <w:t>difficultés</w:t>
      </w:r>
      <w:r w:rsidRPr="00C52FFE">
        <w:rPr>
          <w:rFonts w:asciiTheme="majorHAnsi" w:hAnsiTheme="majorHAnsi"/>
          <w:lang w:val="fr-FR"/>
        </w:rPr>
        <w:t xml:space="preserve"> </w:t>
      </w:r>
      <w:r w:rsidR="00C52FFE" w:rsidRPr="00C52FFE">
        <w:rPr>
          <w:rFonts w:asciiTheme="majorHAnsi" w:hAnsiTheme="majorHAnsi"/>
          <w:lang w:val="fr-FR"/>
        </w:rPr>
        <w:t>socioéconomiques</w:t>
      </w:r>
      <w:r w:rsidRPr="00C52FFE">
        <w:rPr>
          <w:rFonts w:asciiTheme="majorHAnsi" w:hAnsiTheme="majorHAnsi"/>
          <w:lang w:val="fr-FR"/>
        </w:rPr>
        <w:t xml:space="preserve"> n</w:t>
      </w:r>
      <w:r w:rsidR="00C76A60" w:rsidRPr="00C52FFE">
        <w:rPr>
          <w:rFonts w:asciiTheme="majorHAnsi" w:hAnsiTheme="majorHAnsi"/>
          <w:lang w:val="fr-FR"/>
        </w:rPr>
        <w:t>’ont pas été accompagnées d’</w:t>
      </w:r>
      <w:r w:rsidR="00C52FFE" w:rsidRPr="00C52FFE">
        <w:rPr>
          <w:rFonts w:asciiTheme="majorHAnsi" w:hAnsiTheme="majorHAnsi"/>
          <w:lang w:val="fr-FR"/>
        </w:rPr>
        <w:t>initiatives</w:t>
      </w:r>
      <w:r w:rsidRPr="00C52FFE">
        <w:rPr>
          <w:rFonts w:asciiTheme="majorHAnsi" w:hAnsiTheme="majorHAnsi"/>
          <w:lang w:val="fr-FR"/>
        </w:rPr>
        <w:t xml:space="preserve"> </w:t>
      </w:r>
      <w:r w:rsidR="00C76A60" w:rsidRPr="00C52FFE">
        <w:rPr>
          <w:rFonts w:asciiTheme="majorHAnsi" w:hAnsiTheme="majorHAnsi"/>
          <w:lang w:val="fr-FR"/>
        </w:rPr>
        <w:t>d</w:t>
      </w:r>
      <w:r w:rsidR="0036339C" w:rsidRPr="00C52FFE">
        <w:rPr>
          <w:rFonts w:asciiTheme="majorHAnsi" w:hAnsiTheme="majorHAnsi"/>
          <w:lang w:val="fr-FR"/>
        </w:rPr>
        <w:t xml:space="preserve">e soutien </w:t>
      </w:r>
      <w:r w:rsidR="00C76A60" w:rsidRPr="00C52FFE">
        <w:rPr>
          <w:rFonts w:asciiTheme="majorHAnsi" w:hAnsiTheme="majorHAnsi"/>
          <w:lang w:val="fr-FR"/>
        </w:rPr>
        <w:t xml:space="preserve">de la part de l’état, bien au contraire, </w:t>
      </w:r>
      <w:r w:rsidR="00EA333F" w:rsidRPr="00C52FFE">
        <w:rPr>
          <w:rFonts w:asciiTheme="majorHAnsi" w:hAnsiTheme="majorHAnsi"/>
          <w:lang w:val="fr-FR"/>
        </w:rPr>
        <w:t>au fil des</w:t>
      </w:r>
      <w:r w:rsidR="00C54560">
        <w:rPr>
          <w:rFonts w:asciiTheme="majorHAnsi" w:hAnsiTheme="majorHAnsi"/>
          <w:lang w:val="fr-FR"/>
        </w:rPr>
        <w:t xml:space="preserve"> </w:t>
      </w:r>
      <w:r w:rsidR="00EA333F" w:rsidRPr="00C52FFE">
        <w:rPr>
          <w:rFonts w:asciiTheme="majorHAnsi" w:hAnsiTheme="majorHAnsi"/>
          <w:lang w:val="fr-FR"/>
        </w:rPr>
        <w:t>ans</w:t>
      </w:r>
      <w:r w:rsidR="00EA333F">
        <w:rPr>
          <w:rFonts w:asciiTheme="majorHAnsi" w:hAnsiTheme="majorHAnsi"/>
          <w:lang w:val="fr-FR"/>
        </w:rPr>
        <w:t>,</w:t>
      </w:r>
      <w:r w:rsidR="00EA333F" w:rsidRPr="00C52FFE">
        <w:rPr>
          <w:rFonts w:asciiTheme="majorHAnsi" w:hAnsiTheme="majorHAnsi"/>
          <w:lang w:val="fr-FR"/>
        </w:rPr>
        <w:t xml:space="preserve"> </w:t>
      </w:r>
      <w:r w:rsidR="00C76A60" w:rsidRPr="00C52FFE">
        <w:rPr>
          <w:rFonts w:asciiTheme="majorHAnsi" w:hAnsiTheme="majorHAnsi"/>
          <w:lang w:val="fr-FR"/>
        </w:rPr>
        <w:t xml:space="preserve">on a </w:t>
      </w:r>
      <w:r w:rsidR="00C52FFE" w:rsidRPr="00C52FFE">
        <w:rPr>
          <w:rFonts w:asciiTheme="majorHAnsi" w:hAnsiTheme="majorHAnsi"/>
          <w:lang w:val="fr-FR"/>
        </w:rPr>
        <w:t>assisté</w:t>
      </w:r>
      <w:r w:rsidR="00C76A60" w:rsidRPr="00C52FFE">
        <w:rPr>
          <w:rFonts w:asciiTheme="majorHAnsi" w:hAnsiTheme="majorHAnsi"/>
          <w:lang w:val="fr-FR"/>
        </w:rPr>
        <w:t xml:space="preserve"> </w:t>
      </w:r>
      <w:r w:rsidR="00C52FFE" w:rsidRPr="00C52FFE">
        <w:rPr>
          <w:rFonts w:asciiTheme="majorHAnsi" w:hAnsiTheme="majorHAnsi"/>
          <w:lang w:val="fr-FR"/>
        </w:rPr>
        <w:t>à</w:t>
      </w:r>
      <w:r w:rsidR="00C76A60" w:rsidRPr="00C52FFE">
        <w:rPr>
          <w:rFonts w:asciiTheme="majorHAnsi" w:hAnsiTheme="majorHAnsi"/>
          <w:lang w:val="fr-FR"/>
        </w:rPr>
        <w:t xml:space="preserve"> une diminution de son intervention</w:t>
      </w:r>
      <w:r w:rsidR="0036339C" w:rsidRPr="00C52FFE">
        <w:rPr>
          <w:rFonts w:asciiTheme="majorHAnsi" w:hAnsiTheme="majorHAnsi"/>
          <w:lang w:val="fr-FR"/>
        </w:rPr>
        <w:t xml:space="preserve"> </w:t>
      </w:r>
      <w:r w:rsidR="00C76A60" w:rsidRPr="00C52FFE">
        <w:rPr>
          <w:rFonts w:asciiTheme="majorHAnsi" w:hAnsiTheme="majorHAnsi"/>
          <w:lang w:val="fr-FR"/>
        </w:rPr>
        <w:t>et une r</w:t>
      </w:r>
      <w:r w:rsidR="0036339C" w:rsidRPr="00C52FFE">
        <w:rPr>
          <w:rFonts w:asciiTheme="majorHAnsi" w:hAnsiTheme="majorHAnsi"/>
          <w:lang w:val="fr-FR"/>
        </w:rPr>
        <w:t>éduction</w:t>
      </w:r>
      <w:r w:rsidR="00C76A60" w:rsidRPr="00C52FFE">
        <w:rPr>
          <w:rFonts w:asciiTheme="majorHAnsi" w:hAnsiTheme="majorHAnsi"/>
          <w:lang w:val="fr-FR"/>
        </w:rPr>
        <w:t xml:space="preserve"> des mesures de soutien.</w:t>
      </w:r>
      <w:r w:rsidR="007641E5" w:rsidRPr="00C52FFE">
        <w:rPr>
          <w:rFonts w:asciiTheme="majorHAnsi" w:hAnsiTheme="majorHAnsi"/>
          <w:lang w:val="fr-FR"/>
        </w:rPr>
        <w:t xml:space="preserve"> </w:t>
      </w:r>
      <w:r w:rsidR="00C52FFE" w:rsidRPr="00C52FFE">
        <w:rPr>
          <w:rFonts w:asciiTheme="majorHAnsi" w:hAnsiTheme="majorHAnsi"/>
          <w:lang w:val="fr-FR"/>
        </w:rPr>
        <w:t>En effet</w:t>
      </w:r>
      <w:r w:rsidR="00A61630" w:rsidRPr="00C52FFE">
        <w:rPr>
          <w:rFonts w:asciiTheme="majorHAnsi" w:hAnsiTheme="majorHAnsi"/>
          <w:lang w:val="fr-FR"/>
        </w:rPr>
        <w:t xml:space="preserve">, </w:t>
      </w:r>
      <w:r w:rsidR="00C52FFE">
        <w:rPr>
          <w:rFonts w:asciiTheme="majorHAnsi" w:hAnsiTheme="majorHAnsi"/>
          <w:lang w:val="fr-FR"/>
        </w:rPr>
        <w:t>un</w:t>
      </w:r>
      <w:r w:rsidR="00C52FFE" w:rsidRPr="00C52FFE">
        <w:rPr>
          <w:rFonts w:asciiTheme="majorHAnsi" w:hAnsiTheme="majorHAnsi"/>
          <w:lang w:val="fr-FR"/>
        </w:rPr>
        <w:t xml:space="preserve"> soutien</w:t>
      </w:r>
      <w:r w:rsidR="00A61630" w:rsidRPr="00C52FFE">
        <w:rPr>
          <w:rFonts w:asciiTheme="majorHAnsi" w:hAnsiTheme="majorHAnsi"/>
          <w:lang w:val="fr-FR"/>
        </w:rPr>
        <w:t xml:space="preserve"> limit</w:t>
      </w:r>
      <w:r w:rsidR="00C52FFE" w:rsidRPr="00C52FFE">
        <w:rPr>
          <w:rFonts w:asciiTheme="majorHAnsi" w:hAnsiTheme="majorHAnsi"/>
          <w:lang w:val="fr-FR"/>
        </w:rPr>
        <w:t>é</w:t>
      </w:r>
      <w:r w:rsidR="00A61630" w:rsidRPr="00C52FFE">
        <w:rPr>
          <w:rFonts w:asciiTheme="majorHAnsi" w:hAnsiTheme="majorHAnsi"/>
          <w:lang w:val="fr-FR"/>
        </w:rPr>
        <w:t xml:space="preserve"> </w:t>
      </w:r>
      <w:r w:rsidR="00C52FFE" w:rsidRPr="00C52FFE">
        <w:rPr>
          <w:rFonts w:asciiTheme="majorHAnsi" w:hAnsiTheme="majorHAnsi"/>
          <w:lang w:val="fr-FR"/>
        </w:rPr>
        <w:t xml:space="preserve">a été orienté vers des familles </w:t>
      </w:r>
      <w:r w:rsidR="00C52FFE" w:rsidRPr="00C52FFE">
        <w:rPr>
          <w:rFonts w:asciiTheme="majorHAnsi" w:hAnsiTheme="majorHAnsi"/>
          <w:lang w:val="fr-FR"/>
        </w:rPr>
        <w:lastRenderedPageBreak/>
        <w:t>extrêmement pauvres et laiss</w:t>
      </w:r>
      <w:r w:rsidR="00C52FFE">
        <w:rPr>
          <w:rFonts w:asciiTheme="majorHAnsi" w:hAnsiTheme="majorHAnsi"/>
          <w:lang w:val="fr-FR"/>
        </w:rPr>
        <w:t>é à la charge des institutions Particulières de Solidarité Sociale.</w:t>
      </w:r>
      <w:r w:rsidR="00006281">
        <w:rPr>
          <w:rFonts w:asciiTheme="majorHAnsi" w:hAnsiTheme="majorHAnsi"/>
        </w:rPr>
        <w:fldChar w:fldCharType="begin" w:fldLock="1"/>
      </w:r>
      <w:r w:rsidR="002E63C9" w:rsidRPr="00C52FFE">
        <w:rPr>
          <w:rFonts w:asciiTheme="majorHAnsi" w:hAnsiTheme="majorHAnsi"/>
          <w:lang w:val="fr-FR"/>
        </w:rPr>
        <w:instrText>ADDIN CSL_CITATION { "citationItems" : [ { "id" : "ITEM-1", "itemData" : { "author" : [ { "dropping-particle" : "", "family" : "Wall", "given" : "Karin", "non-dropping-particle" : "", "parse-names" : false, "suffix" : "" }, { "dropping-particle" : "", "family" : "Leit\u00e3o", "given" : "Mafalda", "non-dropping-particle" : "", "parse-names" : false, "suffix" : "" }, { "dropping-particle" : "", "family" : "Atalaia", "given" : "Susana", "non-dropping-particle" : "", "parse-names" : false, "suffix" : "" }, { "dropping-particle" : "", "family" : "Cunha", "given" : "Vanessa", "non-dropping-particle" : "", "parse-names" : false, "suffix" : "" } ], "id" : "ITEM-1", "issued" : { "date-parts" : [ [ "2015" ] ] }, "publisher-place" : "Lisboa", "title" : "Pol\u00edticas de apoio econ\u00f3mico \u00e0s fam\u00edlias em 2013. (Policy Brief 2014)", "type" : "report" }, "uris" : [ "http://www.mendeley.com/documents/?uuid=e4b33da4-9416-43ed-908a-006d67f8dafa" ] } ], "mendeley" : { "formattedCitation" : "(Wall, Leit\u00e3o, Atalaia, &amp; Cunha, 2015)", "plainTextFormattedCitation" : "(Wall, Leit\u00e3o, Atalaia, &amp; Cunha, 2015)", "previouslyFormattedCitation" : "(Wall, Leit\u00e3o, Atalaia, &amp; Cunha, 2015)" }, "properties" : { "noteIndex" : 0 }, "schema" : "https://github.com/citation-style-language/schema/raw/master/csl-citation.json" }</w:instrText>
      </w:r>
      <w:r w:rsidR="00006281">
        <w:rPr>
          <w:rFonts w:asciiTheme="majorHAnsi" w:hAnsiTheme="majorHAnsi"/>
        </w:rPr>
        <w:fldChar w:fldCharType="separate"/>
      </w:r>
      <w:r w:rsidR="007641E5" w:rsidRPr="00791798">
        <w:rPr>
          <w:rFonts w:asciiTheme="majorHAnsi" w:hAnsiTheme="majorHAnsi"/>
          <w:noProof/>
          <w:lang w:val="fr-FR"/>
        </w:rPr>
        <w:t>(Wall, Leitão, Atalaia, &amp; Cunha, 2015)</w:t>
      </w:r>
      <w:r w:rsidR="00006281">
        <w:rPr>
          <w:rFonts w:asciiTheme="majorHAnsi" w:hAnsiTheme="majorHAnsi"/>
        </w:rPr>
        <w:fldChar w:fldCharType="end"/>
      </w:r>
    </w:p>
    <w:p w14:paraId="427B540A" w14:textId="77777777" w:rsidR="004C5A34" w:rsidRPr="00D11C5E" w:rsidRDefault="00D11C5E" w:rsidP="004C5A34">
      <w:pPr>
        <w:spacing w:after="120"/>
        <w:jc w:val="both"/>
        <w:rPr>
          <w:rFonts w:asciiTheme="majorHAnsi" w:hAnsiTheme="majorHAnsi"/>
          <w:strike/>
          <w:lang w:val="fr-FR"/>
        </w:rPr>
      </w:pPr>
      <w:r w:rsidRPr="00D11C5E">
        <w:rPr>
          <w:rFonts w:asciiTheme="majorHAnsi" w:hAnsiTheme="majorHAnsi"/>
          <w:lang w:val="fr-FR"/>
        </w:rPr>
        <w:t xml:space="preserve">Dans ce </w:t>
      </w:r>
      <w:r w:rsidR="004C5A34" w:rsidRPr="00D11C5E">
        <w:rPr>
          <w:rFonts w:asciiTheme="majorHAnsi" w:hAnsiTheme="majorHAnsi"/>
          <w:lang w:val="fr-FR"/>
        </w:rPr>
        <w:t>context</w:t>
      </w:r>
      <w:r w:rsidRPr="00D11C5E">
        <w:rPr>
          <w:rFonts w:asciiTheme="majorHAnsi" w:hAnsiTheme="majorHAnsi"/>
          <w:lang w:val="fr-FR"/>
        </w:rPr>
        <w:t>e</w:t>
      </w:r>
      <w:r w:rsidR="004C5A34" w:rsidRPr="00D11C5E">
        <w:rPr>
          <w:rFonts w:asciiTheme="majorHAnsi" w:hAnsiTheme="majorHAnsi"/>
          <w:lang w:val="fr-FR"/>
        </w:rPr>
        <w:t xml:space="preserve"> </w:t>
      </w:r>
      <w:r w:rsidRPr="00D11C5E">
        <w:rPr>
          <w:rFonts w:asciiTheme="majorHAnsi" w:hAnsiTheme="majorHAnsi"/>
          <w:lang w:val="fr-FR"/>
        </w:rPr>
        <w:t>l</w:t>
      </w:r>
      <w:r w:rsidR="004C5A34" w:rsidRPr="00D11C5E">
        <w:rPr>
          <w:rFonts w:asciiTheme="majorHAnsi" w:hAnsiTheme="majorHAnsi"/>
          <w:lang w:val="fr-FR"/>
        </w:rPr>
        <w:t xml:space="preserve">a </w:t>
      </w:r>
      <w:r w:rsidRPr="00E84ED3">
        <w:rPr>
          <w:rFonts w:asciiTheme="majorHAnsi" w:hAnsiTheme="majorHAnsi"/>
          <w:lang w:val="fr-FR"/>
        </w:rPr>
        <w:t>baisse</w:t>
      </w:r>
      <w:r w:rsidR="004C5A34" w:rsidRPr="00D11C5E">
        <w:rPr>
          <w:rFonts w:asciiTheme="majorHAnsi" w:hAnsiTheme="majorHAnsi"/>
          <w:lang w:val="fr-FR"/>
        </w:rPr>
        <w:t xml:space="preserve"> d</w:t>
      </w:r>
      <w:r w:rsidRPr="00D11C5E">
        <w:rPr>
          <w:rFonts w:asciiTheme="majorHAnsi" w:hAnsiTheme="majorHAnsi"/>
          <w:lang w:val="fr-FR"/>
        </w:rPr>
        <w:t>e l</w:t>
      </w:r>
      <w:r w:rsidR="004C5A34" w:rsidRPr="00D11C5E">
        <w:rPr>
          <w:rFonts w:asciiTheme="majorHAnsi" w:hAnsiTheme="majorHAnsi"/>
          <w:lang w:val="fr-FR"/>
        </w:rPr>
        <w:t xml:space="preserve">a </w:t>
      </w:r>
      <w:r w:rsidRPr="00D11C5E">
        <w:rPr>
          <w:rFonts w:asciiTheme="majorHAnsi" w:hAnsiTheme="majorHAnsi"/>
          <w:lang w:val="fr-FR"/>
        </w:rPr>
        <w:t xml:space="preserve">fécondité </w:t>
      </w:r>
      <w:r>
        <w:rPr>
          <w:rFonts w:asciiTheme="majorHAnsi" w:hAnsiTheme="majorHAnsi"/>
          <w:lang w:val="fr-FR"/>
        </w:rPr>
        <w:t>associ</w:t>
      </w:r>
      <w:r w:rsidRPr="00D11C5E">
        <w:rPr>
          <w:rFonts w:asciiTheme="majorHAnsi" w:hAnsiTheme="majorHAnsi"/>
          <w:lang w:val="fr-FR"/>
        </w:rPr>
        <w:t xml:space="preserve">ée </w:t>
      </w:r>
      <w:r>
        <w:rPr>
          <w:rFonts w:asciiTheme="majorHAnsi" w:hAnsiTheme="majorHAnsi"/>
          <w:lang w:val="fr-FR"/>
        </w:rPr>
        <w:t xml:space="preserve">à la </w:t>
      </w:r>
      <w:r w:rsidR="004C5A34" w:rsidRPr="00D11C5E">
        <w:rPr>
          <w:rFonts w:asciiTheme="majorHAnsi" w:hAnsiTheme="majorHAnsi"/>
          <w:lang w:val="fr-FR"/>
        </w:rPr>
        <w:t>recrudesc</w:t>
      </w:r>
      <w:r w:rsidRPr="00D11C5E">
        <w:rPr>
          <w:rFonts w:asciiTheme="majorHAnsi" w:hAnsiTheme="majorHAnsi"/>
          <w:lang w:val="fr-FR"/>
        </w:rPr>
        <w:t>ence</w:t>
      </w:r>
      <w:r w:rsidR="004C5A34" w:rsidRPr="00D11C5E">
        <w:rPr>
          <w:rFonts w:asciiTheme="majorHAnsi" w:hAnsiTheme="majorHAnsi"/>
          <w:lang w:val="fr-FR"/>
        </w:rPr>
        <w:t xml:space="preserve"> d</w:t>
      </w:r>
      <w:r w:rsidRPr="00D11C5E">
        <w:rPr>
          <w:rFonts w:asciiTheme="majorHAnsi" w:hAnsiTheme="majorHAnsi"/>
          <w:lang w:val="fr-FR"/>
        </w:rPr>
        <w:t xml:space="preserve">e </w:t>
      </w:r>
      <w:r w:rsidR="00C76A60" w:rsidRPr="00D11C5E">
        <w:rPr>
          <w:rFonts w:asciiTheme="majorHAnsi" w:hAnsiTheme="majorHAnsi"/>
          <w:lang w:val="fr-FR"/>
        </w:rPr>
        <w:t>l’émigration</w:t>
      </w:r>
      <w:r>
        <w:rPr>
          <w:rFonts w:asciiTheme="majorHAnsi" w:hAnsiTheme="majorHAnsi"/>
          <w:lang w:val="fr-FR"/>
        </w:rPr>
        <w:t>,</w:t>
      </w:r>
      <w:r w:rsidR="004C5A34" w:rsidRPr="00D11C5E">
        <w:rPr>
          <w:rFonts w:asciiTheme="majorHAnsi" w:hAnsiTheme="majorHAnsi"/>
          <w:lang w:val="fr-FR"/>
        </w:rPr>
        <w:t xml:space="preserve"> </w:t>
      </w:r>
      <w:r w:rsidR="00E43D38">
        <w:rPr>
          <w:rFonts w:asciiTheme="majorHAnsi" w:hAnsiTheme="majorHAnsi"/>
          <w:lang w:val="fr-FR"/>
        </w:rPr>
        <w:t>a</w:t>
      </w:r>
      <w:r w:rsidR="00402F44">
        <w:rPr>
          <w:rFonts w:asciiTheme="majorHAnsi" w:hAnsiTheme="majorHAnsi"/>
          <w:color w:val="FF0000"/>
          <w:lang w:val="fr-FR"/>
        </w:rPr>
        <w:t xml:space="preserve"> </w:t>
      </w:r>
      <w:r w:rsidRPr="00D11C5E">
        <w:rPr>
          <w:rFonts w:asciiTheme="majorHAnsi" w:hAnsiTheme="majorHAnsi"/>
          <w:lang w:val="fr-FR"/>
        </w:rPr>
        <w:t>suscité</w:t>
      </w:r>
      <w:r w:rsidR="004C5A34" w:rsidRPr="00D11C5E">
        <w:rPr>
          <w:rFonts w:asciiTheme="majorHAnsi" w:hAnsiTheme="majorHAnsi"/>
          <w:lang w:val="fr-FR"/>
        </w:rPr>
        <w:t xml:space="preserve"> </w:t>
      </w:r>
      <w:r w:rsidRPr="00D11C5E">
        <w:rPr>
          <w:rFonts w:asciiTheme="majorHAnsi" w:hAnsiTheme="majorHAnsi"/>
          <w:lang w:val="fr-FR"/>
        </w:rPr>
        <w:t>un vif</w:t>
      </w:r>
      <w:r w:rsidR="004C5A34" w:rsidRPr="00D11C5E">
        <w:rPr>
          <w:rFonts w:asciiTheme="majorHAnsi" w:hAnsiTheme="majorHAnsi"/>
          <w:lang w:val="fr-FR"/>
        </w:rPr>
        <w:t xml:space="preserve"> </w:t>
      </w:r>
      <w:r w:rsidRPr="00D11C5E">
        <w:rPr>
          <w:rFonts w:asciiTheme="majorHAnsi" w:hAnsiTheme="majorHAnsi"/>
          <w:lang w:val="fr-FR"/>
        </w:rPr>
        <w:t>débat</w:t>
      </w:r>
      <w:r w:rsidR="004C5A34" w:rsidRPr="00D11C5E">
        <w:rPr>
          <w:rFonts w:asciiTheme="majorHAnsi" w:hAnsiTheme="majorHAnsi"/>
          <w:lang w:val="fr-FR"/>
        </w:rPr>
        <w:t xml:space="preserve"> </w:t>
      </w:r>
      <w:r w:rsidRPr="00D11C5E">
        <w:rPr>
          <w:rFonts w:asciiTheme="majorHAnsi" w:hAnsiTheme="majorHAnsi"/>
          <w:lang w:val="fr-FR"/>
        </w:rPr>
        <w:t xml:space="preserve">dans </w:t>
      </w:r>
      <w:r w:rsidR="00C52FFE" w:rsidRPr="00D11C5E">
        <w:rPr>
          <w:rFonts w:asciiTheme="majorHAnsi" w:hAnsiTheme="majorHAnsi"/>
          <w:lang w:val="fr-FR"/>
        </w:rPr>
        <w:t>l’opinion</w:t>
      </w:r>
      <w:r w:rsidR="004C5A34" w:rsidRPr="00D11C5E">
        <w:rPr>
          <w:rFonts w:asciiTheme="majorHAnsi" w:hAnsiTheme="majorHAnsi"/>
          <w:lang w:val="fr-FR"/>
        </w:rPr>
        <w:t xml:space="preserve"> p</w:t>
      </w:r>
      <w:r w:rsidRPr="00D11C5E">
        <w:rPr>
          <w:rFonts w:asciiTheme="majorHAnsi" w:hAnsiTheme="majorHAnsi"/>
          <w:lang w:val="fr-FR"/>
        </w:rPr>
        <w:t>u</w:t>
      </w:r>
      <w:r w:rsidR="004C5A34" w:rsidRPr="00D11C5E">
        <w:rPr>
          <w:rFonts w:asciiTheme="majorHAnsi" w:hAnsiTheme="majorHAnsi"/>
          <w:lang w:val="fr-FR"/>
        </w:rPr>
        <w:t>bli</w:t>
      </w:r>
      <w:r>
        <w:rPr>
          <w:rFonts w:asciiTheme="majorHAnsi" w:hAnsiTheme="majorHAnsi"/>
          <w:lang w:val="fr-FR"/>
        </w:rPr>
        <w:t>que</w:t>
      </w:r>
      <w:r w:rsidR="004C5A34" w:rsidRPr="00D11C5E">
        <w:rPr>
          <w:rFonts w:asciiTheme="majorHAnsi" w:hAnsiTheme="majorHAnsi"/>
          <w:lang w:val="fr-FR"/>
        </w:rPr>
        <w:t xml:space="preserve"> qu</w:t>
      </w:r>
      <w:r>
        <w:rPr>
          <w:rFonts w:asciiTheme="majorHAnsi" w:hAnsiTheme="majorHAnsi"/>
          <w:lang w:val="fr-FR"/>
        </w:rPr>
        <w:t>i exige</w:t>
      </w:r>
      <w:r w:rsidR="004C5A34" w:rsidRPr="00D11C5E">
        <w:rPr>
          <w:rFonts w:asciiTheme="majorHAnsi" w:hAnsiTheme="majorHAnsi"/>
          <w:lang w:val="fr-FR"/>
        </w:rPr>
        <w:t xml:space="preserve"> d</w:t>
      </w:r>
      <w:r>
        <w:rPr>
          <w:rFonts w:asciiTheme="majorHAnsi" w:hAnsiTheme="majorHAnsi"/>
          <w:lang w:val="fr-FR"/>
        </w:rPr>
        <w:t xml:space="preserve">e </w:t>
      </w:r>
      <w:r w:rsidR="00C52FFE">
        <w:rPr>
          <w:rFonts w:asciiTheme="majorHAnsi" w:hAnsiTheme="majorHAnsi"/>
          <w:lang w:val="fr-FR"/>
        </w:rPr>
        <w:t>l’</w:t>
      </w:r>
      <w:r w:rsidR="00C52FFE" w:rsidRPr="00D11C5E">
        <w:rPr>
          <w:rFonts w:asciiTheme="majorHAnsi" w:hAnsiTheme="majorHAnsi"/>
          <w:lang w:val="fr-FR"/>
        </w:rPr>
        <w:t>Etat</w:t>
      </w:r>
      <w:r w:rsidR="004C5A34" w:rsidRPr="00D11C5E">
        <w:rPr>
          <w:rFonts w:asciiTheme="majorHAnsi" w:hAnsiTheme="majorHAnsi"/>
          <w:lang w:val="fr-FR"/>
        </w:rPr>
        <w:t>, u</w:t>
      </w:r>
      <w:r>
        <w:rPr>
          <w:rFonts w:asciiTheme="majorHAnsi" w:hAnsiTheme="majorHAnsi"/>
          <w:lang w:val="fr-FR"/>
        </w:rPr>
        <w:t>n rôle plus ac</w:t>
      </w:r>
      <w:r w:rsidR="004C5A34" w:rsidRPr="00D11C5E">
        <w:rPr>
          <w:rFonts w:asciiTheme="majorHAnsi" w:hAnsiTheme="majorHAnsi"/>
          <w:lang w:val="fr-FR"/>
        </w:rPr>
        <w:t>ti</w:t>
      </w:r>
      <w:r>
        <w:rPr>
          <w:rFonts w:asciiTheme="majorHAnsi" w:hAnsiTheme="majorHAnsi"/>
          <w:lang w:val="fr-FR"/>
        </w:rPr>
        <w:t>f</w:t>
      </w:r>
      <w:r w:rsidR="004C5A34" w:rsidRPr="00D11C5E">
        <w:rPr>
          <w:rFonts w:asciiTheme="majorHAnsi" w:hAnsiTheme="majorHAnsi"/>
          <w:lang w:val="fr-FR"/>
        </w:rPr>
        <w:t xml:space="preserve">. </w:t>
      </w:r>
    </w:p>
    <w:p w14:paraId="1053DB14" w14:textId="77777777" w:rsidR="003F59E4" w:rsidRPr="003F59E4" w:rsidRDefault="003F59E4" w:rsidP="004C5A34">
      <w:pPr>
        <w:spacing w:after="120"/>
        <w:jc w:val="both"/>
        <w:rPr>
          <w:rFonts w:asciiTheme="majorHAnsi" w:hAnsiTheme="majorHAnsi"/>
          <w:lang w:val="fr-FR"/>
        </w:rPr>
      </w:pPr>
      <w:r w:rsidRPr="003F59E4">
        <w:rPr>
          <w:rFonts w:asciiTheme="majorHAnsi" w:hAnsiTheme="majorHAnsi"/>
          <w:lang w:val="fr-FR"/>
        </w:rPr>
        <w:t>Dans</w:t>
      </w:r>
      <w:r w:rsidR="00BA09E0" w:rsidRPr="003F59E4">
        <w:rPr>
          <w:rFonts w:asciiTheme="majorHAnsi" w:hAnsiTheme="majorHAnsi"/>
          <w:lang w:val="fr-FR"/>
        </w:rPr>
        <w:t xml:space="preserve"> une perspective démographique</w:t>
      </w:r>
      <w:r w:rsidR="00C54560">
        <w:rPr>
          <w:rFonts w:asciiTheme="majorHAnsi" w:hAnsiTheme="majorHAnsi"/>
          <w:lang w:val="fr-FR"/>
        </w:rPr>
        <w:t>,</w:t>
      </w:r>
      <w:r w:rsidR="00BA09E0" w:rsidRPr="003F59E4">
        <w:rPr>
          <w:rFonts w:asciiTheme="majorHAnsi" w:hAnsiTheme="majorHAnsi"/>
          <w:lang w:val="fr-FR"/>
        </w:rPr>
        <w:t xml:space="preserve"> ce tableau </w:t>
      </w:r>
      <w:r w:rsidRPr="003F59E4">
        <w:rPr>
          <w:rFonts w:asciiTheme="majorHAnsi" w:hAnsiTheme="majorHAnsi"/>
          <w:lang w:val="fr-FR"/>
        </w:rPr>
        <w:t>suggère</w:t>
      </w:r>
      <w:r w:rsidR="00BA09E0" w:rsidRPr="003F59E4">
        <w:rPr>
          <w:rFonts w:asciiTheme="majorHAnsi" w:hAnsiTheme="majorHAnsi"/>
          <w:lang w:val="fr-FR"/>
        </w:rPr>
        <w:t xml:space="preserve"> également une autre dimension de débat</w:t>
      </w:r>
      <w:r w:rsidR="00653405">
        <w:rPr>
          <w:rFonts w:asciiTheme="majorHAnsi" w:hAnsiTheme="majorHAnsi"/>
          <w:lang w:val="fr-FR"/>
        </w:rPr>
        <w:t xml:space="preserve"> </w:t>
      </w:r>
      <w:r w:rsidRPr="003F59E4">
        <w:rPr>
          <w:rFonts w:asciiTheme="majorHAnsi" w:hAnsiTheme="majorHAnsi"/>
          <w:lang w:val="fr-FR"/>
        </w:rPr>
        <w:t>: attendu que dans les dernières décennies la</w:t>
      </w:r>
      <w:r w:rsidR="00402F44">
        <w:rPr>
          <w:rFonts w:asciiTheme="majorHAnsi" w:hAnsiTheme="majorHAnsi"/>
          <w:lang w:val="fr-FR"/>
        </w:rPr>
        <w:t xml:space="preserve"> </w:t>
      </w:r>
      <w:r w:rsidRPr="003F59E4">
        <w:rPr>
          <w:rFonts w:asciiTheme="majorHAnsi" w:hAnsiTheme="majorHAnsi"/>
          <w:lang w:val="fr-FR"/>
        </w:rPr>
        <w:t>croissance  populationnelle est principalement due aux migrations</w:t>
      </w:r>
      <w:r>
        <w:rPr>
          <w:rFonts w:asciiTheme="majorHAnsi" w:hAnsiTheme="majorHAnsi"/>
          <w:lang w:val="fr-FR"/>
        </w:rPr>
        <w:t xml:space="preserve">, il est intéressant de savoir jusqu’à quel point la mobilité se répercute ou est pondérée sur les politiques </w:t>
      </w:r>
      <w:r w:rsidR="004955B8">
        <w:rPr>
          <w:rFonts w:asciiTheme="majorHAnsi" w:hAnsiTheme="majorHAnsi"/>
          <w:lang w:val="fr-FR"/>
        </w:rPr>
        <w:t>ciblant la famille ou encore dans quelle mesure celle-ci peut consti</w:t>
      </w:r>
      <w:r w:rsidR="0081720A">
        <w:rPr>
          <w:rFonts w:asciiTheme="majorHAnsi" w:hAnsiTheme="majorHAnsi"/>
          <w:lang w:val="fr-FR"/>
        </w:rPr>
        <w:t xml:space="preserve">tuer une question primordiale </w:t>
      </w:r>
      <w:r w:rsidR="0081720A" w:rsidRPr="0081720A">
        <w:rPr>
          <w:rFonts w:asciiTheme="majorHAnsi" w:hAnsiTheme="majorHAnsi"/>
          <w:lang w:val="fr-FR"/>
        </w:rPr>
        <w:t>à</w:t>
      </w:r>
      <w:r w:rsidR="00E4797A" w:rsidRPr="0081720A">
        <w:rPr>
          <w:rFonts w:asciiTheme="majorHAnsi" w:hAnsiTheme="majorHAnsi"/>
          <w:lang w:val="fr-FR"/>
        </w:rPr>
        <w:t xml:space="preserve"> inclure</w:t>
      </w:r>
      <w:r w:rsidR="004955B8" w:rsidRPr="0081720A">
        <w:rPr>
          <w:rFonts w:asciiTheme="majorHAnsi" w:hAnsiTheme="majorHAnsi"/>
          <w:lang w:val="fr-FR"/>
        </w:rPr>
        <w:t xml:space="preserve"> dans</w:t>
      </w:r>
      <w:r w:rsidR="004955B8">
        <w:rPr>
          <w:rFonts w:asciiTheme="majorHAnsi" w:hAnsiTheme="majorHAnsi"/>
          <w:lang w:val="fr-FR"/>
        </w:rPr>
        <w:t xml:space="preserve"> le </w:t>
      </w:r>
      <w:r w:rsidR="00E4797A">
        <w:rPr>
          <w:rFonts w:asciiTheme="majorHAnsi" w:hAnsiTheme="majorHAnsi"/>
          <w:lang w:val="fr-FR"/>
        </w:rPr>
        <w:t>schéma</w:t>
      </w:r>
      <w:r w:rsidR="004955B8">
        <w:rPr>
          <w:rFonts w:asciiTheme="majorHAnsi" w:hAnsiTheme="majorHAnsi"/>
          <w:lang w:val="fr-FR"/>
        </w:rPr>
        <w:t xml:space="preserve"> de la politique familiale</w:t>
      </w:r>
    </w:p>
    <w:p w14:paraId="7C0840C4" w14:textId="77777777" w:rsidR="00BE53D4" w:rsidRDefault="00E4797A" w:rsidP="004C5A34">
      <w:pPr>
        <w:spacing w:after="120"/>
        <w:jc w:val="both"/>
        <w:rPr>
          <w:rFonts w:asciiTheme="majorHAnsi" w:hAnsiTheme="majorHAnsi"/>
          <w:lang w:val="fr-FR"/>
        </w:rPr>
      </w:pPr>
      <w:r w:rsidRPr="009F74A1">
        <w:rPr>
          <w:rFonts w:asciiTheme="majorHAnsi" w:hAnsiTheme="majorHAnsi"/>
          <w:lang w:val="fr-FR"/>
        </w:rPr>
        <w:t>Dans ce cas</w:t>
      </w:r>
      <w:r w:rsidR="009F74A1" w:rsidRPr="009F74A1">
        <w:rPr>
          <w:rFonts w:asciiTheme="majorHAnsi" w:hAnsiTheme="majorHAnsi"/>
          <w:lang w:val="fr-FR"/>
        </w:rPr>
        <w:t xml:space="preserve"> </w:t>
      </w:r>
      <w:r w:rsidRPr="00E4797A">
        <w:rPr>
          <w:rFonts w:asciiTheme="majorHAnsi" w:hAnsiTheme="majorHAnsi"/>
          <w:lang w:val="fr-FR"/>
        </w:rPr>
        <w:t xml:space="preserve">on prétend </w:t>
      </w:r>
      <w:r>
        <w:rPr>
          <w:rFonts w:asciiTheme="majorHAnsi" w:hAnsiTheme="majorHAnsi"/>
          <w:lang w:val="fr-FR"/>
        </w:rPr>
        <w:t>con</w:t>
      </w:r>
      <w:r w:rsidRPr="00E4797A">
        <w:rPr>
          <w:rFonts w:asciiTheme="majorHAnsi" w:hAnsiTheme="majorHAnsi"/>
          <w:lang w:val="fr-FR"/>
        </w:rPr>
        <w:t>centrer</w:t>
      </w:r>
      <w:r>
        <w:rPr>
          <w:rFonts w:asciiTheme="majorHAnsi" w:hAnsiTheme="majorHAnsi"/>
          <w:lang w:val="fr-FR"/>
        </w:rPr>
        <w:t xml:space="preserve"> </w:t>
      </w:r>
      <w:r w:rsidRPr="00E4797A">
        <w:rPr>
          <w:rFonts w:asciiTheme="majorHAnsi" w:hAnsiTheme="majorHAnsi"/>
          <w:lang w:val="fr-FR"/>
        </w:rPr>
        <w:t>l’analyse sur un aspect particulier, celui de la mobilit</w:t>
      </w:r>
      <w:r>
        <w:rPr>
          <w:rFonts w:asciiTheme="majorHAnsi" w:hAnsiTheme="majorHAnsi"/>
          <w:lang w:val="fr-FR"/>
        </w:rPr>
        <w:t>é interne des familles.</w:t>
      </w:r>
      <w:r w:rsidR="00074A24" w:rsidRPr="00E4797A">
        <w:rPr>
          <w:rFonts w:asciiTheme="majorHAnsi" w:hAnsiTheme="majorHAnsi"/>
          <w:lang w:val="fr-FR"/>
        </w:rPr>
        <w:t xml:space="preserve"> </w:t>
      </w:r>
      <w:r w:rsidR="00DE0698" w:rsidRPr="00DE0698">
        <w:rPr>
          <w:rFonts w:asciiTheme="majorHAnsi" w:hAnsiTheme="majorHAnsi"/>
          <w:lang w:val="fr-FR"/>
        </w:rPr>
        <w:t>Les mouvements migratoires internes constituent une dimension particulièrement importante au niveau de l’évolution de la population au Portugal et ont profondément</w:t>
      </w:r>
      <w:r w:rsidR="00DE0698">
        <w:rPr>
          <w:rFonts w:asciiTheme="majorHAnsi" w:hAnsiTheme="majorHAnsi"/>
          <w:lang w:val="fr-FR"/>
        </w:rPr>
        <w:t xml:space="preserve"> marqué </w:t>
      </w:r>
      <w:r w:rsidR="00DE0698" w:rsidRPr="00DE0698">
        <w:rPr>
          <w:rFonts w:asciiTheme="majorHAnsi" w:hAnsiTheme="majorHAnsi"/>
          <w:lang w:val="fr-FR"/>
        </w:rPr>
        <w:t xml:space="preserve">la transformation de la dynamique </w:t>
      </w:r>
      <w:r w:rsidR="00DE0698">
        <w:rPr>
          <w:rFonts w:asciiTheme="majorHAnsi" w:hAnsiTheme="majorHAnsi"/>
          <w:lang w:val="fr-FR"/>
        </w:rPr>
        <w:t>démographique.</w:t>
      </w:r>
      <w:r w:rsidR="00074A24" w:rsidRPr="00DE0698">
        <w:rPr>
          <w:rFonts w:asciiTheme="majorHAnsi" w:hAnsiTheme="majorHAnsi"/>
          <w:lang w:val="fr-FR"/>
        </w:rPr>
        <w:t xml:space="preserve"> </w:t>
      </w:r>
      <w:r w:rsidR="00EA333F" w:rsidRPr="0096666C">
        <w:rPr>
          <w:rFonts w:asciiTheme="majorHAnsi" w:hAnsiTheme="majorHAnsi"/>
          <w:lang w:val="fr-FR"/>
        </w:rPr>
        <w:t>Pourtant,</w:t>
      </w:r>
      <w:r w:rsidR="0096666C" w:rsidRPr="0096666C">
        <w:rPr>
          <w:rFonts w:asciiTheme="majorHAnsi" w:hAnsiTheme="majorHAnsi"/>
          <w:lang w:val="fr-FR"/>
        </w:rPr>
        <w:t xml:space="preserve"> malgré leur importance, </w:t>
      </w:r>
      <w:r w:rsidR="0096666C" w:rsidRPr="009F74A1">
        <w:rPr>
          <w:rFonts w:asciiTheme="majorHAnsi" w:hAnsiTheme="majorHAnsi"/>
          <w:lang w:val="fr-FR"/>
        </w:rPr>
        <w:t xml:space="preserve">peu </w:t>
      </w:r>
      <w:r w:rsidR="00F51C41">
        <w:rPr>
          <w:rFonts w:asciiTheme="majorHAnsi" w:hAnsiTheme="majorHAnsi"/>
          <w:lang w:val="fr-FR"/>
        </w:rPr>
        <w:t>s</w:t>
      </w:r>
      <w:r w:rsidR="0096666C" w:rsidRPr="009F74A1">
        <w:rPr>
          <w:rFonts w:asciiTheme="majorHAnsi" w:hAnsiTheme="majorHAnsi"/>
          <w:lang w:val="fr-FR"/>
        </w:rPr>
        <w:t xml:space="preserve">ont </w:t>
      </w:r>
      <w:r w:rsidR="00F51C41">
        <w:rPr>
          <w:rFonts w:asciiTheme="majorHAnsi" w:hAnsiTheme="majorHAnsi"/>
          <w:lang w:val="fr-FR"/>
        </w:rPr>
        <w:t>les recherches qui l’ont pour cible</w:t>
      </w:r>
      <w:r w:rsidR="0096666C" w:rsidRPr="0096666C">
        <w:rPr>
          <w:rFonts w:asciiTheme="majorHAnsi" w:hAnsiTheme="majorHAnsi"/>
          <w:lang w:val="fr-FR"/>
        </w:rPr>
        <w:t>.</w:t>
      </w:r>
      <w:r w:rsidR="00BE53D4">
        <w:rPr>
          <w:rFonts w:asciiTheme="majorHAnsi" w:hAnsiTheme="majorHAnsi"/>
          <w:lang w:val="fr-FR"/>
        </w:rPr>
        <w:t xml:space="preserve"> Ce fait</w:t>
      </w:r>
      <w:r w:rsidR="00EA333F">
        <w:rPr>
          <w:rFonts w:asciiTheme="majorHAnsi" w:hAnsiTheme="majorHAnsi"/>
          <w:lang w:val="fr-FR"/>
        </w:rPr>
        <w:t>,</w:t>
      </w:r>
      <w:r w:rsidR="00BE53D4">
        <w:rPr>
          <w:rFonts w:asciiTheme="majorHAnsi" w:hAnsiTheme="majorHAnsi"/>
          <w:lang w:val="fr-FR"/>
        </w:rPr>
        <w:t xml:space="preserve"> n’est pas sans rapport</w:t>
      </w:r>
      <w:r w:rsidR="0031613A" w:rsidRPr="0096666C">
        <w:rPr>
          <w:rFonts w:asciiTheme="majorHAnsi" w:hAnsiTheme="majorHAnsi"/>
          <w:lang w:val="fr-FR"/>
        </w:rPr>
        <w:t xml:space="preserve"> </w:t>
      </w:r>
      <w:r w:rsidR="00BE53D4">
        <w:rPr>
          <w:rFonts w:asciiTheme="majorHAnsi" w:hAnsiTheme="majorHAnsi"/>
          <w:lang w:val="fr-FR"/>
        </w:rPr>
        <w:t>avec le manque de données.</w:t>
      </w:r>
      <w:r w:rsidR="00BE53D4" w:rsidRPr="0096666C">
        <w:rPr>
          <w:rFonts w:asciiTheme="majorHAnsi" w:hAnsiTheme="majorHAnsi"/>
          <w:lang w:val="fr-FR"/>
        </w:rPr>
        <w:t xml:space="preserve"> </w:t>
      </w:r>
    </w:p>
    <w:p w14:paraId="63A98960" w14:textId="77777777" w:rsidR="003B1406" w:rsidRPr="003B1406" w:rsidRDefault="00067005" w:rsidP="004C5A34">
      <w:pPr>
        <w:spacing w:after="120"/>
        <w:jc w:val="both"/>
        <w:rPr>
          <w:rFonts w:asciiTheme="majorHAnsi" w:hAnsiTheme="majorHAnsi"/>
          <w:lang w:val="fr-FR"/>
        </w:rPr>
      </w:pPr>
      <w:r w:rsidRPr="005E5168">
        <w:rPr>
          <w:rFonts w:asciiTheme="majorHAnsi" w:hAnsiTheme="majorHAnsi"/>
          <w:lang w:val="fr-FR"/>
        </w:rPr>
        <w:t>L’analyse</w:t>
      </w:r>
      <w:r w:rsidR="005E5168" w:rsidRPr="005E5168">
        <w:rPr>
          <w:rFonts w:asciiTheme="majorHAnsi" w:hAnsiTheme="majorHAnsi"/>
          <w:lang w:val="fr-FR"/>
        </w:rPr>
        <w:t xml:space="preserve"> développée, part de l’apurement</w:t>
      </w:r>
      <w:r w:rsidRPr="005E5168">
        <w:rPr>
          <w:rFonts w:asciiTheme="majorHAnsi" w:hAnsiTheme="majorHAnsi"/>
          <w:lang w:val="fr-FR"/>
        </w:rPr>
        <w:t xml:space="preserve"> des données provenant des recensements</w:t>
      </w:r>
      <w:r w:rsidR="005E5168" w:rsidRPr="005E5168">
        <w:rPr>
          <w:rFonts w:asciiTheme="majorHAnsi" w:hAnsiTheme="majorHAnsi"/>
          <w:lang w:val="fr-FR"/>
        </w:rPr>
        <w:t>,</w:t>
      </w:r>
      <w:r w:rsidR="002A0C6D" w:rsidRPr="005E5168">
        <w:rPr>
          <w:rFonts w:asciiTheme="majorHAnsi" w:hAnsiTheme="majorHAnsi"/>
          <w:lang w:val="fr-FR"/>
        </w:rPr>
        <w:t xml:space="preserve"> sur </w:t>
      </w:r>
      <w:r w:rsidRPr="005E5168">
        <w:rPr>
          <w:rFonts w:asciiTheme="majorHAnsi" w:hAnsiTheme="majorHAnsi"/>
          <w:lang w:val="fr-FR"/>
        </w:rPr>
        <w:t xml:space="preserve">la mobilité interne des familles, </w:t>
      </w:r>
      <w:r w:rsidR="005E5168" w:rsidRPr="005E5168">
        <w:rPr>
          <w:rFonts w:asciiTheme="majorHAnsi" w:hAnsiTheme="majorHAnsi"/>
          <w:lang w:val="fr-FR"/>
        </w:rPr>
        <w:t xml:space="preserve">considérant </w:t>
      </w:r>
      <w:r w:rsidRPr="005E5168">
        <w:rPr>
          <w:rFonts w:asciiTheme="majorHAnsi" w:hAnsiTheme="majorHAnsi"/>
          <w:lang w:val="fr-FR"/>
        </w:rPr>
        <w:t>l’enregistrement des fa</w:t>
      </w:r>
      <w:r w:rsidR="007C7989" w:rsidRPr="005E5168">
        <w:rPr>
          <w:rFonts w:asciiTheme="majorHAnsi" w:hAnsiTheme="majorHAnsi"/>
          <w:lang w:val="fr-FR"/>
        </w:rPr>
        <w:t xml:space="preserve">milles ayant changé </w:t>
      </w:r>
      <w:r w:rsidR="00BE53D4" w:rsidRPr="005E5168">
        <w:rPr>
          <w:rFonts w:asciiTheme="majorHAnsi" w:hAnsiTheme="majorHAnsi"/>
          <w:lang w:val="fr-FR"/>
        </w:rPr>
        <w:t>de résidence</w:t>
      </w:r>
      <w:r w:rsidRPr="005E5168">
        <w:rPr>
          <w:rFonts w:asciiTheme="majorHAnsi" w:hAnsiTheme="majorHAnsi"/>
          <w:lang w:val="fr-FR"/>
        </w:rPr>
        <w:t>, cinq ans avant le recensement,</w:t>
      </w:r>
      <w:r w:rsidR="005E5168" w:rsidRPr="005E5168">
        <w:rPr>
          <w:rFonts w:asciiTheme="majorHAnsi" w:hAnsiTheme="majorHAnsi"/>
          <w:lang w:val="fr-FR"/>
        </w:rPr>
        <w:t xml:space="preserve"> selon </w:t>
      </w:r>
      <w:r w:rsidRPr="005E5168">
        <w:rPr>
          <w:rFonts w:asciiTheme="majorHAnsi" w:hAnsiTheme="majorHAnsi"/>
          <w:lang w:val="fr-FR"/>
        </w:rPr>
        <w:t>l’âge, le niveau d’instruction et la condition face au travail du chef de famille.</w:t>
      </w:r>
      <w:r w:rsidR="003B1406" w:rsidRPr="005E5168">
        <w:rPr>
          <w:rFonts w:asciiTheme="majorHAnsi" w:hAnsiTheme="majorHAnsi"/>
          <w:lang w:val="fr-FR"/>
        </w:rPr>
        <w:t xml:space="preserve"> On </w:t>
      </w:r>
      <w:r w:rsidR="00C54560" w:rsidRPr="003B1406">
        <w:rPr>
          <w:rFonts w:asciiTheme="majorHAnsi" w:hAnsiTheme="majorHAnsi"/>
          <w:lang w:val="fr-FR"/>
        </w:rPr>
        <w:t>prétend</w:t>
      </w:r>
      <w:r w:rsidR="00E55A87" w:rsidRPr="003B1406">
        <w:rPr>
          <w:rFonts w:asciiTheme="majorHAnsi" w:hAnsiTheme="majorHAnsi"/>
          <w:lang w:val="fr-FR"/>
        </w:rPr>
        <w:t xml:space="preserve"> a</w:t>
      </w:r>
      <w:r w:rsidR="003B1406" w:rsidRPr="003B1406">
        <w:rPr>
          <w:rFonts w:asciiTheme="majorHAnsi" w:hAnsiTheme="majorHAnsi"/>
          <w:lang w:val="fr-FR"/>
        </w:rPr>
        <w:t>insi</w:t>
      </w:r>
      <w:r w:rsidR="000C6381" w:rsidRPr="003B1406">
        <w:rPr>
          <w:rFonts w:asciiTheme="majorHAnsi" w:hAnsiTheme="majorHAnsi"/>
          <w:lang w:val="fr-FR"/>
        </w:rPr>
        <w:t xml:space="preserve"> contribu</w:t>
      </w:r>
      <w:r w:rsidR="0049603F">
        <w:rPr>
          <w:rFonts w:asciiTheme="majorHAnsi" w:hAnsiTheme="majorHAnsi"/>
          <w:lang w:val="fr-FR"/>
        </w:rPr>
        <w:t>e</w:t>
      </w:r>
      <w:r w:rsidR="003B1406" w:rsidRPr="003B1406">
        <w:rPr>
          <w:rFonts w:asciiTheme="majorHAnsi" w:hAnsiTheme="majorHAnsi"/>
          <w:lang w:val="fr-FR"/>
        </w:rPr>
        <w:t>r</w:t>
      </w:r>
      <w:r w:rsidR="0049603F">
        <w:rPr>
          <w:rFonts w:asciiTheme="majorHAnsi" w:hAnsiTheme="majorHAnsi"/>
          <w:lang w:val="fr-FR"/>
        </w:rPr>
        <w:t xml:space="preserve"> </w:t>
      </w:r>
      <w:r w:rsidR="003B1406" w:rsidRPr="003B1406">
        <w:rPr>
          <w:rFonts w:asciiTheme="majorHAnsi" w:hAnsiTheme="majorHAnsi"/>
          <w:lang w:val="fr-FR"/>
        </w:rPr>
        <w:t>au débat sur la conjugaison des questions démographiques et de l’intervention des politiques publiques</w:t>
      </w:r>
      <w:r w:rsidR="0049603F">
        <w:rPr>
          <w:rFonts w:asciiTheme="majorHAnsi" w:hAnsiTheme="majorHAnsi"/>
          <w:lang w:val="fr-FR"/>
        </w:rPr>
        <w:t>,</w:t>
      </w:r>
      <w:r w:rsidR="003B1406" w:rsidRPr="003B1406">
        <w:rPr>
          <w:rFonts w:asciiTheme="majorHAnsi" w:hAnsiTheme="majorHAnsi"/>
          <w:lang w:val="fr-FR"/>
        </w:rPr>
        <w:t xml:space="preserve"> </w:t>
      </w:r>
      <w:r w:rsidR="0049603F">
        <w:rPr>
          <w:rFonts w:asciiTheme="majorHAnsi" w:hAnsiTheme="majorHAnsi"/>
          <w:lang w:val="fr-FR"/>
        </w:rPr>
        <w:t>afin</w:t>
      </w:r>
      <w:r w:rsidR="003B1406" w:rsidRPr="003B1406">
        <w:rPr>
          <w:rFonts w:asciiTheme="majorHAnsi" w:hAnsiTheme="majorHAnsi"/>
          <w:lang w:val="fr-FR"/>
        </w:rPr>
        <w:t xml:space="preserve"> de</w:t>
      </w:r>
      <w:r w:rsidR="0049603F">
        <w:rPr>
          <w:rFonts w:asciiTheme="majorHAnsi" w:hAnsiTheme="majorHAnsi"/>
          <w:lang w:val="fr-FR"/>
        </w:rPr>
        <w:t xml:space="preserve"> mieux aborder les</w:t>
      </w:r>
      <w:r w:rsidR="003B1406" w:rsidRPr="003B1406">
        <w:rPr>
          <w:rFonts w:asciiTheme="majorHAnsi" w:hAnsiTheme="majorHAnsi"/>
          <w:lang w:val="fr-FR"/>
        </w:rPr>
        <w:t xml:space="preserve"> facteurs de bien-être des familles</w:t>
      </w:r>
      <w:r w:rsidR="0049603F">
        <w:rPr>
          <w:rFonts w:asciiTheme="majorHAnsi" w:hAnsiTheme="majorHAnsi"/>
          <w:lang w:val="fr-FR"/>
        </w:rPr>
        <w:t xml:space="preserve"> et de la population portugaise. </w:t>
      </w:r>
    </w:p>
    <w:p w14:paraId="7A08108C" w14:textId="77777777" w:rsidR="0061450F" w:rsidRPr="003B1406" w:rsidRDefault="0061450F" w:rsidP="004C5A34">
      <w:pPr>
        <w:spacing w:after="120"/>
        <w:jc w:val="both"/>
        <w:rPr>
          <w:rFonts w:asciiTheme="majorHAnsi" w:hAnsiTheme="majorHAnsi"/>
          <w:lang w:val="fr-FR"/>
        </w:rPr>
      </w:pPr>
    </w:p>
    <w:p w14:paraId="226FC18C" w14:textId="77777777" w:rsidR="00014F29" w:rsidRPr="002A3C2F" w:rsidRDefault="009D3B63" w:rsidP="002A3C2F">
      <w:pPr>
        <w:pStyle w:val="ListParagraph"/>
        <w:numPr>
          <w:ilvl w:val="0"/>
          <w:numId w:val="1"/>
        </w:numPr>
        <w:spacing w:after="120"/>
        <w:jc w:val="both"/>
        <w:rPr>
          <w:rFonts w:asciiTheme="majorHAnsi" w:hAnsiTheme="majorHAnsi"/>
        </w:rPr>
      </w:pPr>
      <w:proofErr w:type="spellStart"/>
      <w:r w:rsidRPr="002A3C2F">
        <w:rPr>
          <w:rFonts w:asciiTheme="majorHAnsi" w:hAnsiTheme="majorHAnsi"/>
        </w:rPr>
        <w:t>Fam</w:t>
      </w:r>
      <w:r w:rsidR="0049603F">
        <w:rPr>
          <w:rFonts w:asciiTheme="majorHAnsi" w:hAnsiTheme="majorHAnsi"/>
        </w:rPr>
        <w:t>ille</w:t>
      </w:r>
      <w:proofErr w:type="spellEnd"/>
      <w:r w:rsidRPr="002A3C2F">
        <w:rPr>
          <w:rFonts w:asciiTheme="majorHAnsi" w:hAnsiTheme="majorHAnsi"/>
        </w:rPr>
        <w:t xml:space="preserve"> </w:t>
      </w:r>
      <w:proofErr w:type="spellStart"/>
      <w:r w:rsidRPr="002A3C2F">
        <w:rPr>
          <w:rFonts w:asciiTheme="majorHAnsi" w:hAnsiTheme="majorHAnsi"/>
        </w:rPr>
        <w:t>e</w:t>
      </w:r>
      <w:r w:rsidR="0049603F">
        <w:rPr>
          <w:rFonts w:asciiTheme="majorHAnsi" w:hAnsiTheme="majorHAnsi"/>
        </w:rPr>
        <w:t>t</w:t>
      </w:r>
      <w:proofErr w:type="spellEnd"/>
      <w:r w:rsidR="0049603F">
        <w:rPr>
          <w:rFonts w:asciiTheme="majorHAnsi" w:hAnsiTheme="majorHAnsi"/>
        </w:rPr>
        <w:t xml:space="preserve"> </w:t>
      </w:r>
      <w:proofErr w:type="spellStart"/>
      <w:r w:rsidRPr="002A3C2F">
        <w:rPr>
          <w:rFonts w:asciiTheme="majorHAnsi" w:hAnsiTheme="majorHAnsi"/>
        </w:rPr>
        <w:t>migra</w:t>
      </w:r>
      <w:r w:rsidR="0049603F">
        <w:rPr>
          <w:rFonts w:asciiTheme="majorHAnsi" w:hAnsiTheme="majorHAnsi"/>
        </w:rPr>
        <w:t>tion</w:t>
      </w:r>
      <w:r w:rsidRPr="002A3C2F">
        <w:rPr>
          <w:rFonts w:asciiTheme="majorHAnsi" w:hAnsiTheme="majorHAnsi"/>
        </w:rPr>
        <w:t>s</w:t>
      </w:r>
      <w:proofErr w:type="spellEnd"/>
      <w:r w:rsidRPr="002A3C2F">
        <w:rPr>
          <w:rFonts w:asciiTheme="majorHAnsi" w:hAnsiTheme="majorHAnsi"/>
        </w:rPr>
        <w:t xml:space="preserve"> intern</w:t>
      </w:r>
      <w:r w:rsidR="0049603F">
        <w:rPr>
          <w:rFonts w:asciiTheme="majorHAnsi" w:hAnsiTheme="majorHAnsi"/>
        </w:rPr>
        <w:t>e</w:t>
      </w:r>
      <w:r w:rsidRPr="002A3C2F">
        <w:rPr>
          <w:rFonts w:asciiTheme="majorHAnsi" w:hAnsiTheme="majorHAnsi"/>
        </w:rPr>
        <w:t xml:space="preserve">s </w:t>
      </w:r>
    </w:p>
    <w:p w14:paraId="3460E6E9" w14:textId="77777777" w:rsidR="002A3C2F" w:rsidRPr="004D075B" w:rsidRDefault="0049603F" w:rsidP="002A3C2F">
      <w:pPr>
        <w:spacing w:after="120"/>
        <w:jc w:val="both"/>
        <w:rPr>
          <w:rFonts w:asciiTheme="majorHAnsi" w:hAnsiTheme="majorHAnsi"/>
          <w:lang w:val="fr-FR"/>
        </w:rPr>
      </w:pPr>
      <w:r w:rsidRPr="00E16C92">
        <w:rPr>
          <w:rFonts w:asciiTheme="majorHAnsi" w:hAnsiTheme="majorHAnsi"/>
          <w:lang w:val="fr-FR"/>
        </w:rPr>
        <w:t>L’</w:t>
      </w:r>
      <w:r w:rsidR="00846FA4" w:rsidRPr="00E16C92">
        <w:rPr>
          <w:rFonts w:asciiTheme="majorHAnsi" w:hAnsiTheme="majorHAnsi"/>
          <w:lang w:val="fr-FR"/>
        </w:rPr>
        <w:t>an</w:t>
      </w:r>
      <w:r w:rsidRPr="00E16C92">
        <w:rPr>
          <w:rFonts w:asciiTheme="majorHAnsi" w:hAnsiTheme="majorHAnsi"/>
          <w:lang w:val="fr-FR"/>
        </w:rPr>
        <w:t>a</w:t>
      </w:r>
      <w:r w:rsidR="00846FA4" w:rsidRPr="00E16C92">
        <w:rPr>
          <w:rFonts w:asciiTheme="majorHAnsi" w:hAnsiTheme="majorHAnsi"/>
          <w:lang w:val="fr-FR"/>
        </w:rPr>
        <w:t>l</w:t>
      </w:r>
      <w:r w:rsidRPr="00E16C92">
        <w:rPr>
          <w:rFonts w:asciiTheme="majorHAnsi" w:hAnsiTheme="majorHAnsi"/>
          <w:lang w:val="fr-FR"/>
        </w:rPr>
        <w:t>y</w:t>
      </w:r>
      <w:r w:rsidR="00846FA4" w:rsidRPr="00E16C92">
        <w:rPr>
          <w:rFonts w:asciiTheme="majorHAnsi" w:hAnsiTheme="majorHAnsi"/>
          <w:lang w:val="fr-FR"/>
        </w:rPr>
        <w:t xml:space="preserve">se </w:t>
      </w:r>
      <w:r w:rsidR="007C7989">
        <w:rPr>
          <w:rFonts w:asciiTheme="majorHAnsi" w:hAnsiTheme="majorHAnsi"/>
          <w:lang w:val="fr-FR"/>
        </w:rPr>
        <w:t>de</w:t>
      </w:r>
      <w:r w:rsidRPr="00E16C92">
        <w:rPr>
          <w:rFonts w:asciiTheme="majorHAnsi" w:hAnsiTheme="majorHAnsi"/>
          <w:lang w:val="fr-FR"/>
        </w:rPr>
        <w:t xml:space="preserve"> la</w:t>
      </w:r>
      <w:r w:rsidR="00846FA4" w:rsidRPr="00E16C92">
        <w:rPr>
          <w:rFonts w:asciiTheme="majorHAnsi" w:hAnsiTheme="majorHAnsi"/>
          <w:lang w:val="fr-FR"/>
        </w:rPr>
        <w:t xml:space="preserve"> fam</w:t>
      </w:r>
      <w:r w:rsidRPr="00E16C92">
        <w:rPr>
          <w:rFonts w:asciiTheme="majorHAnsi" w:hAnsiTheme="majorHAnsi"/>
          <w:lang w:val="fr-FR"/>
        </w:rPr>
        <w:t xml:space="preserve">ille et </w:t>
      </w:r>
      <w:r w:rsidR="007C7989">
        <w:rPr>
          <w:rFonts w:asciiTheme="majorHAnsi" w:hAnsiTheme="majorHAnsi"/>
          <w:lang w:val="fr-FR"/>
        </w:rPr>
        <w:t>d</w:t>
      </w:r>
      <w:r w:rsidRPr="00E16C92">
        <w:rPr>
          <w:rFonts w:asciiTheme="majorHAnsi" w:hAnsiTheme="majorHAnsi"/>
          <w:lang w:val="fr-FR"/>
        </w:rPr>
        <w:t xml:space="preserve">es </w:t>
      </w:r>
      <w:r w:rsidR="00846FA4" w:rsidRPr="00E16C92">
        <w:rPr>
          <w:rFonts w:asciiTheme="majorHAnsi" w:hAnsiTheme="majorHAnsi"/>
          <w:lang w:val="fr-FR"/>
        </w:rPr>
        <w:t>migra</w:t>
      </w:r>
      <w:r w:rsidRPr="00E16C92">
        <w:rPr>
          <w:rFonts w:asciiTheme="majorHAnsi" w:hAnsiTheme="majorHAnsi"/>
          <w:lang w:val="fr-FR"/>
        </w:rPr>
        <w:t>tions est</w:t>
      </w:r>
      <w:r w:rsidR="00846FA4" w:rsidRPr="00E16C92">
        <w:rPr>
          <w:rFonts w:asciiTheme="majorHAnsi" w:hAnsiTheme="majorHAnsi"/>
          <w:lang w:val="fr-FR"/>
        </w:rPr>
        <w:t xml:space="preserve"> particul</w:t>
      </w:r>
      <w:r w:rsidRPr="00E16C92">
        <w:rPr>
          <w:rFonts w:asciiTheme="majorHAnsi" w:hAnsiTheme="majorHAnsi"/>
          <w:lang w:val="fr-FR"/>
        </w:rPr>
        <w:t>ièrement</w:t>
      </w:r>
      <w:r w:rsidR="0058530C" w:rsidRPr="00E16C92">
        <w:rPr>
          <w:rFonts w:asciiTheme="majorHAnsi" w:hAnsiTheme="majorHAnsi"/>
          <w:lang w:val="fr-FR"/>
        </w:rPr>
        <w:t xml:space="preserve"> complex</w:t>
      </w:r>
      <w:r w:rsidRPr="00E16C92">
        <w:rPr>
          <w:rFonts w:asciiTheme="majorHAnsi" w:hAnsiTheme="majorHAnsi"/>
          <w:lang w:val="fr-FR"/>
        </w:rPr>
        <w:t>e</w:t>
      </w:r>
      <w:r w:rsidR="0058530C" w:rsidRPr="00E16C92">
        <w:rPr>
          <w:rFonts w:asciiTheme="majorHAnsi" w:hAnsiTheme="majorHAnsi"/>
          <w:lang w:val="fr-FR"/>
        </w:rPr>
        <w:t xml:space="preserve"> </w:t>
      </w:r>
      <w:r w:rsidR="00E16C92" w:rsidRPr="00E16C92">
        <w:rPr>
          <w:rFonts w:asciiTheme="majorHAnsi" w:hAnsiTheme="majorHAnsi"/>
          <w:lang w:val="fr-FR"/>
        </w:rPr>
        <w:t xml:space="preserve">de </w:t>
      </w:r>
      <w:r w:rsidR="0058530C" w:rsidRPr="00E16C92">
        <w:rPr>
          <w:rFonts w:asciiTheme="majorHAnsi" w:hAnsiTheme="majorHAnsi"/>
          <w:lang w:val="fr-FR"/>
        </w:rPr>
        <w:t>p</w:t>
      </w:r>
      <w:r w:rsidR="00A95C47" w:rsidRPr="00E16C92">
        <w:rPr>
          <w:rFonts w:asciiTheme="majorHAnsi" w:hAnsiTheme="majorHAnsi"/>
          <w:lang w:val="fr-FR"/>
        </w:rPr>
        <w:t>ar les</w:t>
      </w:r>
      <w:r w:rsidR="0058530C" w:rsidRPr="00E16C92">
        <w:rPr>
          <w:rFonts w:asciiTheme="majorHAnsi" w:hAnsiTheme="majorHAnsi"/>
          <w:lang w:val="fr-FR"/>
        </w:rPr>
        <w:t xml:space="preserve"> ef</w:t>
      </w:r>
      <w:r w:rsidR="00A95C47" w:rsidRPr="00E16C92">
        <w:rPr>
          <w:rFonts w:asciiTheme="majorHAnsi" w:hAnsiTheme="majorHAnsi"/>
          <w:lang w:val="fr-FR"/>
        </w:rPr>
        <w:t>fets</w:t>
      </w:r>
      <w:r w:rsidR="0061450F" w:rsidRPr="00E16C92">
        <w:rPr>
          <w:rFonts w:asciiTheme="majorHAnsi" w:hAnsiTheme="majorHAnsi"/>
          <w:lang w:val="fr-FR"/>
        </w:rPr>
        <w:t xml:space="preserve"> </w:t>
      </w:r>
      <w:r w:rsidR="00A95C47" w:rsidRPr="00E16C92">
        <w:rPr>
          <w:rFonts w:asciiTheme="majorHAnsi" w:hAnsiTheme="majorHAnsi"/>
          <w:lang w:val="fr-FR"/>
        </w:rPr>
        <w:t xml:space="preserve">survenant dans la </w:t>
      </w:r>
      <w:r w:rsidR="00AC3D15" w:rsidRPr="00E16C92">
        <w:rPr>
          <w:rFonts w:asciiTheme="majorHAnsi" w:hAnsiTheme="majorHAnsi"/>
          <w:lang w:val="fr-FR"/>
        </w:rPr>
        <w:t>dynamique</w:t>
      </w:r>
      <w:r w:rsidR="00A95C47" w:rsidRPr="00E16C92">
        <w:rPr>
          <w:rFonts w:asciiTheme="majorHAnsi" w:hAnsiTheme="majorHAnsi"/>
          <w:lang w:val="fr-FR"/>
        </w:rPr>
        <w:t xml:space="preserve"> familiale, mais qui peu</w:t>
      </w:r>
      <w:r w:rsidR="00E16C92" w:rsidRPr="00E16C92">
        <w:rPr>
          <w:rFonts w:asciiTheme="majorHAnsi" w:hAnsiTheme="majorHAnsi"/>
          <w:lang w:val="fr-FR"/>
        </w:rPr>
        <w:t xml:space="preserve">vent </w:t>
      </w:r>
      <w:r w:rsidR="00AC3D15" w:rsidRPr="00E16C92">
        <w:rPr>
          <w:rFonts w:asciiTheme="majorHAnsi" w:hAnsiTheme="majorHAnsi"/>
          <w:lang w:val="fr-FR"/>
        </w:rPr>
        <w:t>également</w:t>
      </w:r>
      <w:r w:rsidR="00A95C47" w:rsidRPr="00E16C92">
        <w:rPr>
          <w:rFonts w:asciiTheme="majorHAnsi" w:hAnsiTheme="majorHAnsi"/>
          <w:lang w:val="fr-FR"/>
        </w:rPr>
        <w:t xml:space="preserve"> </w:t>
      </w:r>
      <w:r w:rsidR="00E16C92" w:rsidRPr="00E16C92">
        <w:rPr>
          <w:rFonts w:asciiTheme="majorHAnsi" w:hAnsiTheme="majorHAnsi"/>
          <w:lang w:val="fr-FR"/>
        </w:rPr>
        <w:t xml:space="preserve">résulter de la </w:t>
      </w:r>
      <w:r w:rsidR="00AC3D15" w:rsidRPr="00E16C92">
        <w:rPr>
          <w:rFonts w:asciiTheme="majorHAnsi" w:hAnsiTheme="majorHAnsi"/>
          <w:lang w:val="fr-FR"/>
        </w:rPr>
        <w:t>dynamique</w:t>
      </w:r>
      <w:r w:rsidR="00846FA4" w:rsidRPr="00E16C92">
        <w:rPr>
          <w:rFonts w:asciiTheme="majorHAnsi" w:hAnsiTheme="majorHAnsi"/>
          <w:lang w:val="fr-FR"/>
        </w:rPr>
        <w:t xml:space="preserve"> familia</w:t>
      </w:r>
      <w:r w:rsidR="00E16C92" w:rsidRPr="00E16C92">
        <w:rPr>
          <w:rFonts w:asciiTheme="majorHAnsi" w:hAnsiTheme="majorHAnsi"/>
          <w:lang w:val="fr-FR"/>
        </w:rPr>
        <w:t>le</w:t>
      </w:r>
      <w:r w:rsidR="00846FA4" w:rsidRPr="00E16C92">
        <w:rPr>
          <w:rFonts w:asciiTheme="majorHAnsi" w:hAnsiTheme="majorHAnsi"/>
          <w:lang w:val="fr-FR"/>
        </w:rPr>
        <w:t>.</w:t>
      </w:r>
      <w:r w:rsidR="00E16C92" w:rsidRPr="00E16C92">
        <w:rPr>
          <w:rFonts w:asciiTheme="majorHAnsi" w:hAnsiTheme="majorHAnsi"/>
          <w:lang w:val="fr-FR"/>
        </w:rPr>
        <w:t xml:space="preserve"> </w:t>
      </w:r>
      <w:r w:rsidR="004D075B" w:rsidRPr="004D075B">
        <w:rPr>
          <w:rFonts w:asciiTheme="majorHAnsi" w:hAnsiTheme="majorHAnsi"/>
          <w:lang w:val="fr-FR"/>
        </w:rPr>
        <w:t>En ce sens</w:t>
      </w:r>
      <w:r w:rsidR="00F2029B" w:rsidRPr="004D075B">
        <w:rPr>
          <w:rFonts w:asciiTheme="majorHAnsi" w:hAnsiTheme="majorHAnsi"/>
          <w:lang w:val="fr-FR"/>
        </w:rPr>
        <w:t xml:space="preserve"> </w:t>
      </w:r>
      <w:proofErr w:type="spellStart"/>
      <w:r w:rsidR="00846FA4" w:rsidRPr="004D075B">
        <w:rPr>
          <w:rFonts w:asciiTheme="majorHAnsi" w:hAnsiTheme="majorHAnsi"/>
          <w:lang w:val="fr-FR"/>
        </w:rPr>
        <w:t>Tyrrell</w:t>
      </w:r>
      <w:r w:rsidR="00096511" w:rsidRPr="004D075B">
        <w:rPr>
          <w:rFonts w:asciiTheme="majorHAnsi" w:hAnsiTheme="majorHAnsi"/>
          <w:lang w:val="fr-FR"/>
        </w:rPr>
        <w:t>e</w:t>
      </w:r>
      <w:proofErr w:type="spellEnd"/>
      <w:r w:rsidR="005E5168">
        <w:rPr>
          <w:rFonts w:asciiTheme="majorHAnsi" w:hAnsiTheme="majorHAnsi"/>
          <w:lang w:val="fr-FR"/>
        </w:rPr>
        <w:t xml:space="preserve"> et</w:t>
      </w:r>
      <w:r w:rsidR="00096511" w:rsidRPr="004D075B">
        <w:rPr>
          <w:rFonts w:asciiTheme="majorHAnsi" w:hAnsiTheme="majorHAnsi"/>
          <w:lang w:val="fr-FR"/>
        </w:rPr>
        <w:t xml:space="preserve"> </w:t>
      </w:r>
      <w:proofErr w:type="spellStart"/>
      <w:r w:rsidR="00846FA4" w:rsidRPr="004D075B">
        <w:rPr>
          <w:rFonts w:asciiTheme="majorHAnsi" w:hAnsiTheme="majorHAnsi"/>
          <w:lang w:val="fr-FR"/>
        </w:rPr>
        <w:t>Kraftl</w:t>
      </w:r>
      <w:proofErr w:type="spellEnd"/>
      <w:r w:rsidR="00AC3D15" w:rsidRPr="004D075B">
        <w:rPr>
          <w:rFonts w:asciiTheme="majorHAnsi" w:hAnsiTheme="majorHAnsi"/>
          <w:lang w:val="fr-FR"/>
        </w:rPr>
        <w:t xml:space="preserve"> </w:t>
      </w:r>
      <w:r w:rsidR="00006281">
        <w:rPr>
          <w:rFonts w:asciiTheme="majorHAnsi" w:hAnsiTheme="majorHAnsi"/>
        </w:rPr>
        <w:fldChar w:fldCharType="begin" w:fldLock="1"/>
      </w:r>
      <w:r w:rsidR="00096511" w:rsidRPr="004D075B">
        <w:rPr>
          <w:rFonts w:asciiTheme="majorHAnsi" w:hAnsiTheme="majorHAnsi"/>
          <w:lang w:val="fr-FR"/>
        </w:rPr>
        <w:instrText>ADDIN CSL_CITATION { "citationItems" : [ { "id" : "ITEM-1", "itemData" : { "author" : [ { "dropping-particle" : "", "family" : "Tyrrell", "given" : "Naomi", "non-dropping-particle" : "", "parse-names" : false, "suffix" : "" }, { "dropping-particle" : "", "family" : "Kraftl", "given" : "Peter", "non-dropping-particle" : "", "parse-names" : false, "suffix" : "" } ], "chapter-number" : "2", "container-title" : "Internal migration : geographical perspectives and processes", "editor" : [ { "dropping-particle" : "", "family" : "Smith", "given" : "Darren P.", "non-dropping-particle" : "", "parse-names" : false, "suffix" : "" }, { "dropping-particle" : "", "family" : "Finney", "given" : "Nissa", "non-dropping-particle" : "", "parse-names" : false, "suffix" : "" }, { "dropping-particle" : "", "family" : "Halfacree", "given" : "Keith", "non-dropping-particle" : "", "parse-names" : false, "suffix" : "" }, { "dropping-particle" : "", "family" : "Walford", "given" : "Nigel", "non-dropping-particle" : "", "parse-names" : false, "suffix" : "" } ], "id" : "ITEM-1", "issued" : { "date-parts" : [ [ "2015" ] ] }, "page" : "15-29", "publisher" : "Ashgate Publishing limited", "publisher-place" : "Farnham", "title" : "Lifecourse and Internal Migration", "type" : "chapter" }, "suppress-author" : 1, "uris" : [ "http://www.mendeley.com/documents/?uuid=8c4d8af3-962f-4491-9d22-6de3407be8cd" ] } ], "mendeley" : { "formattedCitation" : "(2015)", "plainTextFormattedCitation" : "(2015)", "previouslyFormattedCitation" : "(2015)" }, "properties" : { "noteIndex" : 0 }, "schema" : "https://github.com/citation-style-language/schema/raw/master/csl-citation.json" }</w:instrText>
      </w:r>
      <w:r w:rsidR="00006281">
        <w:rPr>
          <w:rFonts w:asciiTheme="majorHAnsi" w:hAnsiTheme="majorHAnsi"/>
        </w:rPr>
        <w:fldChar w:fldCharType="separate"/>
      </w:r>
      <w:r w:rsidR="00096511" w:rsidRPr="004D075B">
        <w:rPr>
          <w:rFonts w:asciiTheme="majorHAnsi" w:hAnsiTheme="majorHAnsi"/>
          <w:noProof/>
          <w:lang w:val="fr-FR"/>
        </w:rPr>
        <w:t>(2015)</w:t>
      </w:r>
      <w:r w:rsidR="00006281">
        <w:rPr>
          <w:rFonts w:asciiTheme="majorHAnsi" w:hAnsiTheme="majorHAnsi"/>
        </w:rPr>
        <w:fldChar w:fldCharType="end"/>
      </w:r>
      <w:r w:rsidR="00AC3D15" w:rsidRPr="004D075B">
        <w:rPr>
          <w:rFonts w:asciiTheme="majorHAnsi" w:hAnsiTheme="majorHAnsi"/>
          <w:lang w:val="fr-FR"/>
        </w:rPr>
        <w:t xml:space="preserve"> </w:t>
      </w:r>
      <w:r w:rsidR="005E5168">
        <w:rPr>
          <w:rFonts w:asciiTheme="majorHAnsi" w:hAnsiTheme="majorHAnsi"/>
          <w:lang w:val="fr-FR"/>
        </w:rPr>
        <w:t xml:space="preserve">soutiennent </w:t>
      </w:r>
      <w:r w:rsidR="00F2029B" w:rsidRPr="004D075B">
        <w:rPr>
          <w:rFonts w:asciiTheme="majorHAnsi" w:hAnsiTheme="majorHAnsi"/>
          <w:lang w:val="fr-FR"/>
        </w:rPr>
        <w:t xml:space="preserve">que </w:t>
      </w:r>
      <w:r w:rsidR="004D075B" w:rsidRPr="004D075B">
        <w:rPr>
          <w:rFonts w:asciiTheme="majorHAnsi" w:hAnsiTheme="majorHAnsi"/>
          <w:lang w:val="fr-FR"/>
        </w:rPr>
        <w:t>l</w:t>
      </w:r>
      <w:r w:rsidR="00F2029B" w:rsidRPr="004D075B">
        <w:rPr>
          <w:rFonts w:asciiTheme="majorHAnsi" w:hAnsiTheme="majorHAnsi"/>
          <w:lang w:val="fr-FR"/>
        </w:rPr>
        <w:t xml:space="preserve">a </w:t>
      </w:r>
      <w:r w:rsidR="007C7989" w:rsidRPr="004D075B">
        <w:rPr>
          <w:rFonts w:asciiTheme="majorHAnsi" w:hAnsiTheme="majorHAnsi"/>
          <w:lang w:val="fr-FR"/>
        </w:rPr>
        <w:t>mobilité</w:t>
      </w:r>
      <w:r w:rsidR="00F2029B" w:rsidRPr="004D075B">
        <w:rPr>
          <w:rFonts w:asciiTheme="majorHAnsi" w:hAnsiTheme="majorHAnsi"/>
          <w:lang w:val="fr-FR"/>
        </w:rPr>
        <w:t xml:space="preserve"> familia</w:t>
      </w:r>
      <w:r w:rsidR="004D075B" w:rsidRPr="004D075B">
        <w:rPr>
          <w:rFonts w:asciiTheme="majorHAnsi" w:hAnsiTheme="majorHAnsi"/>
          <w:lang w:val="fr-FR"/>
        </w:rPr>
        <w:t>le</w:t>
      </w:r>
      <w:r w:rsidR="00F2029B" w:rsidRPr="004D075B">
        <w:rPr>
          <w:rFonts w:asciiTheme="majorHAnsi" w:hAnsiTheme="majorHAnsi"/>
          <w:lang w:val="fr-FR"/>
        </w:rPr>
        <w:t xml:space="preserve"> </w:t>
      </w:r>
      <w:r w:rsidR="007C7989" w:rsidRPr="004D075B">
        <w:rPr>
          <w:rFonts w:asciiTheme="majorHAnsi" w:hAnsiTheme="majorHAnsi"/>
          <w:lang w:val="fr-FR"/>
        </w:rPr>
        <w:t>intègre</w:t>
      </w:r>
      <w:r w:rsidR="00486E1F" w:rsidRPr="004D075B">
        <w:rPr>
          <w:rFonts w:asciiTheme="majorHAnsi" w:hAnsiTheme="majorHAnsi"/>
          <w:lang w:val="fr-FR"/>
        </w:rPr>
        <w:t xml:space="preserve"> </w:t>
      </w:r>
      <w:r w:rsidR="004D075B" w:rsidRPr="004D075B">
        <w:rPr>
          <w:rFonts w:asciiTheme="majorHAnsi" w:hAnsiTheme="majorHAnsi"/>
          <w:lang w:val="fr-FR"/>
        </w:rPr>
        <w:t xml:space="preserve">les changements </w:t>
      </w:r>
      <w:r w:rsidR="007C7989" w:rsidRPr="004D075B">
        <w:rPr>
          <w:rFonts w:asciiTheme="majorHAnsi" w:hAnsiTheme="majorHAnsi"/>
          <w:lang w:val="fr-FR"/>
        </w:rPr>
        <w:t>tant</w:t>
      </w:r>
      <w:r w:rsidR="004D075B" w:rsidRPr="004D075B">
        <w:rPr>
          <w:rFonts w:asciiTheme="majorHAnsi" w:hAnsiTheme="majorHAnsi"/>
          <w:lang w:val="fr-FR"/>
        </w:rPr>
        <w:t xml:space="preserve"> au </w:t>
      </w:r>
      <w:r w:rsidR="007C7989" w:rsidRPr="004D075B">
        <w:rPr>
          <w:rFonts w:asciiTheme="majorHAnsi" w:hAnsiTheme="majorHAnsi"/>
          <w:lang w:val="fr-FR"/>
        </w:rPr>
        <w:t>niveau</w:t>
      </w:r>
      <w:r w:rsidR="004D075B" w:rsidRPr="004D075B">
        <w:rPr>
          <w:rFonts w:asciiTheme="majorHAnsi" w:hAnsiTheme="majorHAnsi"/>
          <w:lang w:val="fr-FR"/>
        </w:rPr>
        <w:t xml:space="preserve"> de la famille que par rapport au bien-</w:t>
      </w:r>
      <w:r w:rsidR="004D075B">
        <w:rPr>
          <w:rFonts w:asciiTheme="majorHAnsi" w:hAnsiTheme="majorHAnsi"/>
          <w:lang w:val="fr-FR"/>
        </w:rPr>
        <w:t>être et à la satisfaction des individus</w:t>
      </w:r>
      <w:r w:rsidR="00F2029B" w:rsidRPr="004D075B">
        <w:rPr>
          <w:rFonts w:asciiTheme="majorHAnsi" w:hAnsiTheme="majorHAnsi"/>
          <w:lang w:val="fr-FR"/>
        </w:rPr>
        <w:t>,</w:t>
      </w:r>
      <w:r w:rsidR="007C7989">
        <w:rPr>
          <w:rFonts w:asciiTheme="majorHAnsi" w:hAnsiTheme="majorHAnsi"/>
          <w:lang w:val="fr-FR"/>
        </w:rPr>
        <w:t xml:space="preserve"> </w:t>
      </w:r>
      <w:r w:rsidR="004D075B" w:rsidRPr="00D30A97">
        <w:rPr>
          <w:rFonts w:asciiTheme="majorHAnsi" w:hAnsiTheme="majorHAnsi"/>
          <w:lang w:val="fr-FR"/>
        </w:rPr>
        <w:t xml:space="preserve">se </w:t>
      </w:r>
      <w:r w:rsidR="00D30A97" w:rsidRPr="00D30A97">
        <w:rPr>
          <w:rFonts w:asciiTheme="majorHAnsi" w:hAnsiTheme="majorHAnsi"/>
          <w:lang w:val="fr-FR"/>
        </w:rPr>
        <w:t>révèlent</w:t>
      </w:r>
      <w:r w:rsidR="004D075B">
        <w:rPr>
          <w:rFonts w:asciiTheme="majorHAnsi" w:hAnsiTheme="majorHAnsi"/>
          <w:lang w:val="fr-FR"/>
        </w:rPr>
        <w:t xml:space="preserve"> être les </w:t>
      </w:r>
      <w:r w:rsidR="00007FF0">
        <w:rPr>
          <w:rFonts w:asciiTheme="majorHAnsi" w:hAnsiTheme="majorHAnsi"/>
          <w:lang w:val="fr-FR"/>
        </w:rPr>
        <w:t>moteurs</w:t>
      </w:r>
      <w:r w:rsidR="00486E1F" w:rsidRPr="004D075B">
        <w:rPr>
          <w:rFonts w:asciiTheme="majorHAnsi" w:hAnsiTheme="majorHAnsi"/>
          <w:lang w:val="fr-FR"/>
        </w:rPr>
        <w:t xml:space="preserve"> de</w:t>
      </w:r>
      <w:r w:rsidR="00007FF0">
        <w:rPr>
          <w:rFonts w:asciiTheme="majorHAnsi" w:hAnsiTheme="majorHAnsi"/>
          <w:lang w:val="fr-FR"/>
        </w:rPr>
        <w:t xml:space="preserve"> ce changement</w:t>
      </w:r>
      <w:r w:rsidR="00861B3A" w:rsidRPr="004D075B">
        <w:rPr>
          <w:rFonts w:asciiTheme="majorHAnsi" w:hAnsiTheme="majorHAnsi"/>
          <w:lang w:val="fr-FR"/>
        </w:rPr>
        <w:t>.</w:t>
      </w:r>
    </w:p>
    <w:p w14:paraId="04874453" w14:textId="77777777" w:rsidR="00E23F50" w:rsidRPr="00007FF0" w:rsidRDefault="00AF74F3" w:rsidP="00E23F50">
      <w:pPr>
        <w:spacing w:after="120"/>
        <w:jc w:val="both"/>
        <w:rPr>
          <w:rFonts w:asciiTheme="majorHAnsi" w:hAnsiTheme="majorHAnsi"/>
          <w:lang w:val="fr-FR"/>
        </w:rPr>
      </w:pPr>
      <w:r>
        <w:rPr>
          <w:rFonts w:asciiTheme="majorHAnsi" w:hAnsiTheme="majorHAnsi"/>
          <w:lang w:val="fr-FR"/>
        </w:rPr>
        <w:t xml:space="preserve">Bien </w:t>
      </w:r>
      <w:r w:rsidR="00F51C41">
        <w:rPr>
          <w:rFonts w:asciiTheme="majorHAnsi" w:hAnsiTheme="majorHAnsi"/>
          <w:lang w:val="fr-FR"/>
        </w:rPr>
        <w:t>qu’</w:t>
      </w:r>
      <w:r>
        <w:rPr>
          <w:rFonts w:asciiTheme="majorHAnsi" w:hAnsiTheme="majorHAnsi"/>
          <w:lang w:val="fr-FR"/>
        </w:rPr>
        <w:t>on affirme</w:t>
      </w:r>
      <w:r w:rsidR="006B1A04" w:rsidRPr="00007FF0">
        <w:rPr>
          <w:rFonts w:asciiTheme="majorHAnsi" w:hAnsiTheme="majorHAnsi"/>
          <w:lang w:val="fr-FR"/>
        </w:rPr>
        <w:t xml:space="preserve">, que </w:t>
      </w:r>
      <w:r w:rsidR="00007FF0" w:rsidRPr="00007FF0">
        <w:rPr>
          <w:rFonts w:asciiTheme="majorHAnsi" w:hAnsiTheme="majorHAnsi"/>
          <w:lang w:val="fr-FR"/>
        </w:rPr>
        <w:t>les gens migrent parce qu’ils sont à la recherche d’une vie meilleure et que la principale motivation est le bien</w:t>
      </w:r>
      <w:r w:rsidR="00007FF0">
        <w:rPr>
          <w:rFonts w:asciiTheme="majorHAnsi" w:hAnsiTheme="majorHAnsi"/>
          <w:lang w:val="fr-FR"/>
        </w:rPr>
        <w:t>-</w:t>
      </w:r>
      <w:r w:rsidR="00007FF0" w:rsidRPr="00007FF0">
        <w:rPr>
          <w:rFonts w:asciiTheme="majorHAnsi" w:hAnsiTheme="majorHAnsi"/>
          <w:lang w:val="fr-FR"/>
        </w:rPr>
        <w:t xml:space="preserve">être </w:t>
      </w:r>
      <w:r w:rsidR="00007FF0" w:rsidRPr="00D30A97">
        <w:rPr>
          <w:rFonts w:asciiTheme="majorHAnsi" w:hAnsiTheme="majorHAnsi"/>
          <w:lang w:val="fr-FR"/>
        </w:rPr>
        <w:t xml:space="preserve">économique , d’autres </w:t>
      </w:r>
      <w:r w:rsidR="006B1A04" w:rsidRPr="00D30A97">
        <w:rPr>
          <w:rFonts w:asciiTheme="majorHAnsi" w:hAnsiTheme="majorHAnsi"/>
          <w:lang w:val="fr-FR"/>
        </w:rPr>
        <w:t>as</w:t>
      </w:r>
      <w:r w:rsidR="00007FF0" w:rsidRPr="00D30A97">
        <w:rPr>
          <w:rFonts w:asciiTheme="majorHAnsi" w:hAnsiTheme="majorHAnsi"/>
          <w:lang w:val="fr-FR"/>
        </w:rPr>
        <w:t>pects peuvent égal</w:t>
      </w:r>
      <w:r w:rsidR="00D30A97" w:rsidRPr="00D30A97">
        <w:rPr>
          <w:rFonts w:asciiTheme="majorHAnsi" w:hAnsiTheme="majorHAnsi"/>
          <w:lang w:val="fr-FR"/>
        </w:rPr>
        <w:t>ement être déterminants</w:t>
      </w:r>
      <w:r w:rsidR="00007FF0" w:rsidRPr="00D30A97">
        <w:rPr>
          <w:rFonts w:asciiTheme="majorHAnsi" w:hAnsiTheme="majorHAnsi"/>
          <w:lang w:val="fr-FR"/>
        </w:rPr>
        <w:t xml:space="preserve"> dans cette option</w:t>
      </w:r>
      <w:r w:rsidR="006B1A04" w:rsidRPr="00007FF0">
        <w:rPr>
          <w:rFonts w:asciiTheme="majorHAnsi" w:hAnsiTheme="majorHAnsi"/>
          <w:lang w:val="fr-FR"/>
        </w:rPr>
        <w:t xml:space="preserve"> </w:t>
      </w:r>
      <w:r w:rsidR="00007FF0">
        <w:rPr>
          <w:rFonts w:asciiTheme="majorHAnsi" w:hAnsiTheme="majorHAnsi"/>
          <w:lang w:val="fr-FR"/>
        </w:rPr>
        <w:t>notamment les commodités ou incitations non-</w:t>
      </w:r>
      <w:r w:rsidR="007C7989">
        <w:rPr>
          <w:rFonts w:asciiTheme="majorHAnsi" w:hAnsiTheme="majorHAnsi"/>
          <w:lang w:val="fr-FR"/>
        </w:rPr>
        <w:t>économiques</w:t>
      </w:r>
      <w:r w:rsidR="00007FF0" w:rsidRPr="00007FF0">
        <w:rPr>
          <w:rFonts w:asciiTheme="majorHAnsi" w:hAnsiTheme="majorHAnsi"/>
          <w:lang w:val="fr-FR"/>
        </w:rPr>
        <w:t xml:space="preserve"> </w:t>
      </w:r>
      <w:r w:rsidR="00006281">
        <w:rPr>
          <w:rFonts w:asciiTheme="majorHAnsi" w:hAnsiTheme="majorHAnsi"/>
        </w:rPr>
        <w:fldChar w:fldCharType="begin" w:fldLock="1"/>
      </w:r>
      <w:r w:rsidR="003664DA" w:rsidRPr="00007FF0">
        <w:rPr>
          <w:rFonts w:asciiTheme="majorHAnsi" w:hAnsiTheme="majorHAnsi"/>
          <w:lang w:val="fr-FR"/>
        </w:rPr>
        <w:instrText>ADDIN CSL_CITATION { "citationItems" : [ { "id" : "ITEM-1", "itemData" : { "DOI" : "10.1007/s13524-011-0074-8", "author" : [ { "dropping-particle" : "", "family" : "Geist", "given" : "Claudia", "non-dropping-particle" : "", "parse-names" : false, "suffix" : "" }, { "dropping-particle" : "", "family" : "McManus", "given" : "Patricia A.", "non-dropping-particle" : "", "parse-names" : false, "suffix" : "" } ], "container-title" : "Demography", "id" : "ITEM-1", "issue" : "49", "issued" : { "date-parts" : [ [ "2012" ] ] }, "page" : "197-217", "title" : "Different Reasons, Different Results: Implications of Migration by Gender and Family Status", "type" : "article-journal" }, "uris" : [ "http://www.mendeley.com/documents/?uuid=e1f3c50b-e0ff-4308-ad78-2c97d0d5a7df" ] } ], "mendeley" : { "formattedCitation" : "(Geist &amp; McManus, 2012)", "plainTextFormattedCitation" : "(Geist &amp; McManus, 2012)", "previouslyFormattedCitation" : "(Geist &amp; McManus, 2012)" }, "properties" : { "noteIndex" : 0 }, "schema" : "https://github.com/citation-style-language/schema/raw/master/csl-citation.json" }</w:instrText>
      </w:r>
      <w:r w:rsidR="00006281">
        <w:rPr>
          <w:rFonts w:asciiTheme="majorHAnsi" w:hAnsiTheme="majorHAnsi"/>
        </w:rPr>
        <w:fldChar w:fldCharType="separate"/>
      </w:r>
      <w:r w:rsidR="00096511" w:rsidRPr="00007FF0">
        <w:rPr>
          <w:rFonts w:asciiTheme="majorHAnsi" w:hAnsiTheme="majorHAnsi"/>
          <w:noProof/>
          <w:lang w:val="fr-FR"/>
        </w:rPr>
        <w:t>(Geist &amp; McManus, 2012)</w:t>
      </w:r>
      <w:r w:rsidR="00006281">
        <w:rPr>
          <w:rFonts w:asciiTheme="majorHAnsi" w:hAnsiTheme="majorHAnsi"/>
        </w:rPr>
        <w:fldChar w:fldCharType="end"/>
      </w:r>
      <w:r w:rsidR="00E23F50" w:rsidRPr="00007FF0">
        <w:rPr>
          <w:rFonts w:asciiTheme="majorHAnsi" w:hAnsiTheme="majorHAnsi"/>
          <w:lang w:val="fr-FR"/>
        </w:rPr>
        <w:t xml:space="preserve">. </w:t>
      </w:r>
    </w:p>
    <w:p w14:paraId="5454E929" w14:textId="77777777" w:rsidR="0095113C" w:rsidRPr="0068614F" w:rsidRDefault="0068614F" w:rsidP="00E23F50">
      <w:pPr>
        <w:spacing w:after="120"/>
        <w:jc w:val="both"/>
        <w:rPr>
          <w:rFonts w:asciiTheme="majorHAnsi" w:hAnsiTheme="majorHAnsi"/>
          <w:lang w:val="fr-FR"/>
        </w:rPr>
      </w:pPr>
      <w:r w:rsidRPr="00D30A97">
        <w:rPr>
          <w:rFonts w:asciiTheme="majorHAnsi" w:hAnsiTheme="majorHAnsi"/>
          <w:lang w:val="fr-FR"/>
        </w:rPr>
        <w:t>Il es</w:t>
      </w:r>
      <w:r w:rsidR="00AF74F3" w:rsidRPr="00D30A97">
        <w:rPr>
          <w:rFonts w:asciiTheme="majorHAnsi" w:hAnsiTheme="majorHAnsi"/>
          <w:lang w:val="fr-FR"/>
        </w:rPr>
        <w:t xml:space="preserve">t reconnu que les migrations internes “peuvent modifier profondément à la fois la taille de la population et le mode de vie des </w:t>
      </w:r>
      <w:r w:rsidRPr="00D30A97">
        <w:rPr>
          <w:rFonts w:asciiTheme="majorHAnsi" w:hAnsiTheme="majorHAnsi"/>
          <w:lang w:val="fr-FR"/>
        </w:rPr>
        <w:t>communautés</w:t>
      </w:r>
      <w:r w:rsidR="00AF74F3" w:rsidRPr="00D30A97">
        <w:rPr>
          <w:rFonts w:asciiTheme="majorHAnsi" w:hAnsiTheme="majorHAnsi"/>
          <w:lang w:val="fr-FR"/>
        </w:rPr>
        <w:t xml:space="preserve"> d’</w:t>
      </w:r>
      <w:r w:rsidRPr="00D30A97">
        <w:rPr>
          <w:rFonts w:asciiTheme="majorHAnsi" w:hAnsiTheme="majorHAnsi"/>
          <w:lang w:val="fr-FR"/>
        </w:rPr>
        <w:t>accueil</w:t>
      </w:r>
      <w:r w:rsidR="00AF74F3" w:rsidRPr="00D30A97">
        <w:rPr>
          <w:rFonts w:asciiTheme="majorHAnsi" w:hAnsiTheme="majorHAnsi"/>
          <w:lang w:val="fr-FR"/>
        </w:rPr>
        <w:t>”</w:t>
      </w:r>
      <w:r w:rsidR="00740A07" w:rsidRPr="00D30A97">
        <w:rPr>
          <w:rFonts w:asciiTheme="majorHAnsi" w:hAnsiTheme="majorHAnsi"/>
          <w:lang w:val="fr-FR"/>
        </w:rPr>
        <w:t xml:space="preserve"> </w:t>
      </w:r>
      <w:r w:rsidR="00006281" w:rsidRPr="00D30A97">
        <w:rPr>
          <w:rFonts w:asciiTheme="majorHAnsi" w:hAnsiTheme="majorHAnsi"/>
        </w:rPr>
        <w:fldChar w:fldCharType="begin" w:fldLock="1"/>
      </w:r>
      <w:r w:rsidR="003664DA" w:rsidRPr="00D30A97">
        <w:rPr>
          <w:rFonts w:asciiTheme="majorHAnsi" w:hAnsiTheme="majorHAnsi"/>
          <w:lang w:val="fr-FR"/>
        </w:rPr>
        <w:instrText>ADDIN CSL_CITATION { "citationItems" : [ { "id" : "ITEM-1", "itemData" : { "author" : [ { "dropping-particle" : "", "family" : "Champion", "given" : "Tony", "non-dropping-particle" : "", "parse-names" : false, "suffix" : "" }, { "dropping-particle" : "", "family" : "Fielding", "given" : "Tony", "non-dropping-particle" : "", "parse-names" : false, "suffix" : "" } ], "container-title" : "Internal migration : geographical perspectives and processes", "editor" : [ { "dropping-particle" : "", "family" : "Smith", "given" : "Darren P.", "non-dropping-particle" : "", "parse-names" : false, "suffix" : "" }, { "dropping-particle" : "", "family" : "Finney", "given" : "Nissa", "non-dropping-particle" : "", "parse-names" : false, "suffix" : "" }, { "dropping-particle" : "", "family" : "Halfacree", "given" : "Keith", "non-dropping-particle" : "", "parse-names" : false, "suffix" : "" }, { "dropping-particle" : "", "family" : "Walford", "given" : "Nigel", "non-dropping-particle" : "", "parse-names" : false, "suffix" : "" } ], "id" : "ITEM-1", "issued" : { "date-parts" : [ [ "2015" ] ] }, "publisher" : "ashgate Publishing limited", "publisher-place" : "Farnham", "title" : "No Title", "type" : "chapter" }, "locator" : "XIII", "uris" : [ "http://www.mendeley.com/documents/?uuid=aa47df87-64bb-455f-8dc3-c5aff598ac93" ] } ], "mendeley" : { "formattedCitation" : "(Champion &amp; Fielding, 2015, p. XIII)", "plainTextFormattedCitation" : "(Champion &amp; Fielding, 2015, p. XIII)", "previouslyFormattedCitation" : "(Champion &amp; Fielding, 2015, p. XIII)" }, "properties" : { "noteIndex" : 0 }, "schema" : "https://github.com/citation-style-language/schema/raw/master/csl-citation.json" }</w:instrText>
      </w:r>
      <w:r w:rsidR="00006281" w:rsidRPr="00D30A97">
        <w:rPr>
          <w:rFonts w:asciiTheme="majorHAnsi" w:hAnsiTheme="majorHAnsi"/>
        </w:rPr>
        <w:fldChar w:fldCharType="separate"/>
      </w:r>
      <w:r w:rsidR="003664DA" w:rsidRPr="00D30A97">
        <w:rPr>
          <w:rFonts w:asciiTheme="majorHAnsi" w:hAnsiTheme="majorHAnsi"/>
          <w:noProof/>
          <w:lang w:val="fr-FR"/>
        </w:rPr>
        <w:t>(Champion &amp; Fielding, 2015, p. XIII)</w:t>
      </w:r>
      <w:r w:rsidR="00006281" w:rsidRPr="00D30A97">
        <w:rPr>
          <w:rFonts w:asciiTheme="majorHAnsi" w:hAnsiTheme="majorHAnsi"/>
        </w:rPr>
        <w:fldChar w:fldCharType="end"/>
      </w:r>
      <w:r w:rsidR="00740A07" w:rsidRPr="00D30A97">
        <w:rPr>
          <w:rFonts w:asciiTheme="majorHAnsi" w:hAnsiTheme="majorHAnsi"/>
          <w:lang w:val="fr-FR"/>
        </w:rPr>
        <w:t xml:space="preserve"> </w:t>
      </w:r>
      <w:r w:rsidR="00AF74F3" w:rsidRPr="00D30A97">
        <w:rPr>
          <w:rFonts w:asciiTheme="majorHAnsi" w:hAnsiTheme="majorHAnsi"/>
          <w:lang w:val="fr-FR"/>
        </w:rPr>
        <w:t xml:space="preserve"> Néanmoins</w:t>
      </w:r>
      <w:r w:rsidR="00DD012F" w:rsidRPr="00D30A97">
        <w:rPr>
          <w:rFonts w:asciiTheme="majorHAnsi" w:hAnsiTheme="majorHAnsi"/>
          <w:lang w:val="fr-FR"/>
        </w:rPr>
        <w:t>,</w:t>
      </w:r>
      <w:r w:rsidR="00AF74F3" w:rsidRPr="00D30A97">
        <w:rPr>
          <w:rFonts w:asciiTheme="majorHAnsi" w:hAnsiTheme="majorHAnsi"/>
          <w:lang w:val="fr-FR"/>
        </w:rPr>
        <w:t xml:space="preserve"> il faut considérer que les migrations</w:t>
      </w:r>
      <w:r w:rsidRPr="00D30A97">
        <w:rPr>
          <w:rFonts w:asciiTheme="majorHAnsi" w:hAnsiTheme="majorHAnsi"/>
          <w:lang w:val="fr-FR"/>
        </w:rPr>
        <w:t xml:space="preserve"> non</w:t>
      </w:r>
      <w:r>
        <w:rPr>
          <w:rFonts w:asciiTheme="majorHAnsi" w:hAnsiTheme="majorHAnsi"/>
          <w:lang w:val="fr-FR"/>
        </w:rPr>
        <w:t xml:space="preserve"> seulement</w:t>
      </w:r>
      <w:r w:rsidR="00AF74F3">
        <w:rPr>
          <w:rFonts w:asciiTheme="majorHAnsi" w:hAnsiTheme="majorHAnsi"/>
          <w:lang w:val="fr-FR"/>
        </w:rPr>
        <w:t xml:space="preserve"> affectent le sentiment de bien-être</w:t>
      </w:r>
      <w:r>
        <w:rPr>
          <w:rFonts w:asciiTheme="majorHAnsi" w:hAnsiTheme="majorHAnsi"/>
          <w:lang w:val="fr-FR"/>
        </w:rPr>
        <w:t xml:space="preserve"> de ceux qui se déplacent comme elles ont des répercussions nationales/régionales notamment sur le marché du travail et l’habitation. </w:t>
      </w:r>
    </w:p>
    <w:p w14:paraId="5881AEE6" w14:textId="77777777" w:rsidR="00E23F50" w:rsidRPr="00C54560" w:rsidRDefault="00016D24" w:rsidP="00E55A87">
      <w:pPr>
        <w:spacing w:after="120"/>
        <w:jc w:val="both"/>
        <w:rPr>
          <w:rFonts w:asciiTheme="majorHAnsi" w:hAnsiTheme="majorHAnsi"/>
          <w:lang w:val="fr-FR"/>
        </w:rPr>
      </w:pPr>
      <w:r w:rsidRPr="00770EC3">
        <w:rPr>
          <w:rFonts w:asciiTheme="majorHAnsi" w:hAnsiTheme="majorHAnsi"/>
          <w:lang w:val="fr-FR"/>
        </w:rPr>
        <w:lastRenderedPageBreak/>
        <w:t>Ai</w:t>
      </w:r>
      <w:r w:rsidR="0068614F" w:rsidRPr="00770EC3">
        <w:rPr>
          <w:rFonts w:asciiTheme="majorHAnsi" w:hAnsiTheme="majorHAnsi"/>
          <w:lang w:val="fr-FR"/>
        </w:rPr>
        <w:t>nsi</w:t>
      </w:r>
      <w:r w:rsidR="00A34F1E" w:rsidRPr="00770EC3">
        <w:rPr>
          <w:rFonts w:asciiTheme="majorHAnsi" w:hAnsiTheme="majorHAnsi"/>
          <w:lang w:val="fr-FR"/>
        </w:rPr>
        <w:t>,</w:t>
      </w:r>
      <w:r w:rsidR="0068614F" w:rsidRPr="00770EC3">
        <w:rPr>
          <w:rFonts w:asciiTheme="majorHAnsi" w:hAnsiTheme="majorHAnsi"/>
          <w:lang w:val="fr-FR"/>
        </w:rPr>
        <w:t xml:space="preserve"> si le</w:t>
      </w:r>
      <w:r w:rsidRPr="00770EC3">
        <w:rPr>
          <w:rFonts w:asciiTheme="majorHAnsi" w:hAnsiTheme="majorHAnsi"/>
          <w:lang w:val="fr-FR"/>
        </w:rPr>
        <w:t>s migra</w:t>
      </w:r>
      <w:r w:rsidR="0068614F" w:rsidRPr="00770EC3">
        <w:rPr>
          <w:rFonts w:asciiTheme="majorHAnsi" w:hAnsiTheme="majorHAnsi"/>
          <w:lang w:val="fr-FR"/>
        </w:rPr>
        <w:t>tion</w:t>
      </w:r>
      <w:r w:rsidRPr="00770EC3">
        <w:rPr>
          <w:rFonts w:asciiTheme="majorHAnsi" w:hAnsiTheme="majorHAnsi"/>
          <w:lang w:val="fr-FR"/>
        </w:rPr>
        <w:t xml:space="preserve">s </w:t>
      </w:r>
      <w:r w:rsidR="00DD012F" w:rsidRPr="00770EC3">
        <w:rPr>
          <w:rFonts w:asciiTheme="majorHAnsi" w:hAnsiTheme="majorHAnsi"/>
          <w:lang w:val="fr-FR"/>
        </w:rPr>
        <w:t>sociodémographiques</w:t>
      </w:r>
      <w:r w:rsidR="0068614F" w:rsidRPr="00770EC3">
        <w:rPr>
          <w:rFonts w:asciiTheme="majorHAnsi" w:hAnsiTheme="majorHAnsi"/>
          <w:lang w:val="fr-FR"/>
        </w:rPr>
        <w:t xml:space="preserve"> </w:t>
      </w:r>
      <w:r w:rsidR="00740A07" w:rsidRPr="00770EC3">
        <w:rPr>
          <w:rFonts w:asciiTheme="majorHAnsi" w:hAnsiTheme="majorHAnsi"/>
          <w:lang w:val="fr-FR"/>
        </w:rPr>
        <w:t>p</w:t>
      </w:r>
      <w:r w:rsidR="0068614F" w:rsidRPr="00770EC3">
        <w:rPr>
          <w:rFonts w:asciiTheme="majorHAnsi" w:hAnsiTheme="majorHAnsi"/>
          <w:lang w:val="fr-FR"/>
        </w:rPr>
        <w:t>euvent</w:t>
      </w:r>
      <w:r w:rsidR="00740A07" w:rsidRPr="00770EC3">
        <w:rPr>
          <w:rFonts w:asciiTheme="majorHAnsi" w:hAnsiTheme="majorHAnsi"/>
          <w:lang w:val="fr-FR"/>
        </w:rPr>
        <w:t xml:space="preserve"> </w:t>
      </w:r>
      <w:r w:rsidR="0068614F" w:rsidRPr="00770EC3">
        <w:rPr>
          <w:rFonts w:asciiTheme="majorHAnsi" w:hAnsiTheme="majorHAnsi"/>
          <w:lang w:val="fr-FR"/>
        </w:rPr>
        <w:t>entrainer des modifications</w:t>
      </w:r>
      <w:r w:rsidR="000F367C" w:rsidRPr="00770EC3">
        <w:rPr>
          <w:rFonts w:asciiTheme="majorHAnsi" w:hAnsiTheme="majorHAnsi"/>
          <w:lang w:val="fr-FR"/>
        </w:rPr>
        <w:t xml:space="preserve"> </w:t>
      </w:r>
      <w:r w:rsidR="004841B9" w:rsidRPr="00770EC3">
        <w:rPr>
          <w:rFonts w:asciiTheme="majorHAnsi" w:hAnsiTheme="majorHAnsi"/>
          <w:lang w:val="fr-FR"/>
        </w:rPr>
        <w:t>socio-économiques</w:t>
      </w:r>
      <w:r w:rsidRPr="00770EC3">
        <w:rPr>
          <w:rFonts w:asciiTheme="majorHAnsi" w:hAnsiTheme="majorHAnsi"/>
          <w:lang w:val="fr-FR"/>
        </w:rPr>
        <w:t xml:space="preserve">, </w:t>
      </w:r>
      <w:r w:rsidR="0068614F" w:rsidRPr="00770EC3">
        <w:rPr>
          <w:rFonts w:asciiTheme="majorHAnsi" w:hAnsiTheme="majorHAnsi"/>
          <w:lang w:val="fr-FR"/>
        </w:rPr>
        <w:t xml:space="preserve">celles-ci à leur tour peuvent se </w:t>
      </w:r>
      <w:r w:rsidR="0099154C" w:rsidRPr="00770EC3">
        <w:rPr>
          <w:rFonts w:asciiTheme="majorHAnsi" w:hAnsiTheme="majorHAnsi"/>
          <w:lang w:val="fr-FR"/>
        </w:rPr>
        <w:t xml:space="preserve">répercuter sur les flux </w:t>
      </w:r>
      <w:r w:rsidR="004841B9" w:rsidRPr="00770EC3">
        <w:rPr>
          <w:rFonts w:asciiTheme="majorHAnsi" w:hAnsiTheme="majorHAnsi"/>
          <w:lang w:val="fr-FR"/>
        </w:rPr>
        <w:t>migratoires</w:t>
      </w:r>
      <w:r w:rsidRPr="00770EC3">
        <w:rPr>
          <w:rFonts w:asciiTheme="majorHAnsi" w:hAnsiTheme="majorHAnsi"/>
          <w:lang w:val="fr-FR"/>
        </w:rPr>
        <w:t>, no</w:t>
      </w:r>
      <w:r w:rsidR="00770EC3" w:rsidRPr="00770EC3">
        <w:rPr>
          <w:rFonts w:asciiTheme="majorHAnsi" w:hAnsiTheme="majorHAnsi"/>
          <w:lang w:val="fr-FR"/>
        </w:rPr>
        <w:t>tamment</w:t>
      </w:r>
      <w:r w:rsidR="004841B9">
        <w:rPr>
          <w:rFonts w:asciiTheme="majorHAnsi" w:hAnsiTheme="majorHAnsi"/>
          <w:lang w:val="fr-FR"/>
        </w:rPr>
        <w:t>,</w:t>
      </w:r>
      <w:r w:rsidR="00770EC3">
        <w:rPr>
          <w:rFonts w:asciiTheme="majorHAnsi" w:hAnsiTheme="majorHAnsi"/>
          <w:lang w:val="fr-FR"/>
        </w:rPr>
        <w:t xml:space="preserve"> sur</w:t>
      </w:r>
      <w:r w:rsidRPr="00770EC3">
        <w:rPr>
          <w:rFonts w:asciiTheme="majorHAnsi" w:hAnsiTheme="majorHAnsi"/>
          <w:lang w:val="fr-FR"/>
        </w:rPr>
        <w:t xml:space="preserve"> </w:t>
      </w:r>
      <w:r w:rsidR="00770EC3" w:rsidRPr="00770EC3">
        <w:rPr>
          <w:rFonts w:asciiTheme="majorHAnsi" w:hAnsiTheme="majorHAnsi"/>
          <w:lang w:val="fr-FR"/>
        </w:rPr>
        <w:t>les modifications au niveau des politiques de bien-</w:t>
      </w:r>
      <w:r w:rsidR="00770EC3">
        <w:rPr>
          <w:rFonts w:asciiTheme="majorHAnsi" w:hAnsiTheme="majorHAnsi"/>
          <w:lang w:val="fr-FR"/>
        </w:rPr>
        <w:t>être, des politiques d’austérité, de mondialisation et sur le marché du travail, sur la dynamique e</w:t>
      </w:r>
      <w:r w:rsidR="00F51C41">
        <w:rPr>
          <w:rFonts w:asciiTheme="majorHAnsi" w:hAnsiTheme="majorHAnsi"/>
          <w:lang w:val="fr-FR"/>
        </w:rPr>
        <w:t xml:space="preserve">t la croissance des </w:t>
      </w:r>
      <w:r w:rsidR="004841B9">
        <w:rPr>
          <w:rFonts w:asciiTheme="majorHAnsi" w:hAnsiTheme="majorHAnsi"/>
          <w:lang w:val="fr-FR"/>
        </w:rPr>
        <w:t>déplacements</w:t>
      </w:r>
      <w:r w:rsidR="00770EC3">
        <w:rPr>
          <w:rFonts w:asciiTheme="majorHAnsi" w:hAnsiTheme="majorHAnsi"/>
          <w:lang w:val="fr-FR"/>
        </w:rPr>
        <w:t xml:space="preserve"> maison-travail.</w:t>
      </w:r>
      <w:r w:rsidR="00914B93" w:rsidRPr="00770EC3">
        <w:rPr>
          <w:rFonts w:asciiTheme="majorHAnsi" w:hAnsiTheme="majorHAnsi"/>
          <w:lang w:val="fr-FR"/>
        </w:rPr>
        <w:t xml:space="preserve"> </w:t>
      </w:r>
      <w:r w:rsidR="00006281">
        <w:rPr>
          <w:rFonts w:asciiTheme="majorHAnsi" w:hAnsiTheme="majorHAnsi"/>
        </w:rPr>
        <w:fldChar w:fldCharType="begin" w:fldLock="1"/>
      </w:r>
      <w:r w:rsidR="00190C89" w:rsidRPr="00770EC3">
        <w:rPr>
          <w:rFonts w:asciiTheme="majorHAnsi" w:hAnsiTheme="majorHAnsi"/>
          <w:lang w:val="fr-FR"/>
        </w:rPr>
        <w:instrText>ADDIN CSL_CITATION { "citationItems" : [ { "id" : "ITEM-1", "itemData" : { "author" : [ { "dropping-particle" : "", "family" : "Smith", "given" : "Darren P.", "non-dropping-particle" : "", "parse-names" : false, "suffix" : "" }, { "dropping-particle" : "", "family" : "Finney", "given" : "Nissa", "non-dropping-particle" : "", "parse-names" : false, "suffix" : "" }, { "dropping-particle" : "", "family" : "Halfacree", "given" : "Keith", "non-dropping-particle" : "", "parse-names" : false, "suffix" : "" }, { "dropping-particle" : "", "family" : "Walford", "given" : "Nigel", "non-dropping-particle" : "", "parse-names" : false, "suffix" : "" } ], "id" : "ITEM-1", "issued" : { "date-parts" : [ [ "2015" ] ] }, "publisher" : "Ashgate Publishing limited", "publisher-place" : "Farnham", "title" : "Internal migration : geographical perspectives and processes", "type" : "book" }, "locator" : "9", "uris" : [ "http://www.mendeley.com/documents/?uuid=cfd057d1-682a-4f8b-bded-f1a645a5724b" ] } ], "mendeley" : { "formattedCitation" : "(Smith, Finney, Halfacree, &amp; Walford, 2015, p. 9)", "plainTextFormattedCitation" : "(Smith, Finney, Halfacree, &amp; Walford, 2015, p. 9)", "previouslyFormattedCitation" : "(Smith, Finney, Halfacree, &amp; Walford, 2015, p. 9)" }, "properties" : { "noteIndex" : 0 }, "schema" : "https://github.com/citation-style-language/schema/raw/master/csl-citation.json" }</w:instrText>
      </w:r>
      <w:r w:rsidR="00006281">
        <w:rPr>
          <w:rFonts w:asciiTheme="majorHAnsi" w:hAnsiTheme="majorHAnsi"/>
        </w:rPr>
        <w:fldChar w:fldCharType="separate"/>
      </w:r>
      <w:r w:rsidR="003664DA" w:rsidRPr="00C54560">
        <w:rPr>
          <w:rFonts w:asciiTheme="majorHAnsi" w:hAnsiTheme="majorHAnsi"/>
          <w:noProof/>
          <w:lang w:val="fr-FR"/>
        </w:rPr>
        <w:t>(Smith, Finney, Halfacree, &amp; Walford, 2015, p. 9)</w:t>
      </w:r>
      <w:r w:rsidR="00006281">
        <w:rPr>
          <w:rFonts w:asciiTheme="majorHAnsi" w:hAnsiTheme="majorHAnsi"/>
        </w:rPr>
        <w:fldChar w:fldCharType="end"/>
      </w:r>
      <w:r w:rsidR="003664DA" w:rsidRPr="00C54560">
        <w:rPr>
          <w:rFonts w:asciiTheme="majorHAnsi" w:hAnsiTheme="majorHAnsi"/>
          <w:lang w:val="fr-FR"/>
        </w:rPr>
        <w:t>.</w:t>
      </w:r>
    </w:p>
    <w:p w14:paraId="021F81B4" w14:textId="77777777" w:rsidR="000F367C" w:rsidRPr="00AB1DCF" w:rsidRDefault="00D30A97" w:rsidP="00E23F50">
      <w:pPr>
        <w:spacing w:after="120"/>
        <w:jc w:val="both"/>
        <w:rPr>
          <w:rFonts w:asciiTheme="majorHAnsi" w:hAnsiTheme="majorHAnsi"/>
          <w:lang w:val="fr-FR"/>
        </w:rPr>
      </w:pPr>
      <w:r w:rsidRPr="00D30A97">
        <w:rPr>
          <w:rFonts w:asciiTheme="majorHAnsi" w:hAnsiTheme="majorHAnsi"/>
          <w:lang w:val="fr-FR"/>
        </w:rPr>
        <w:t>De plus</w:t>
      </w:r>
      <w:r>
        <w:rPr>
          <w:rFonts w:asciiTheme="majorHAnsi" w:hAnsiTheme="majorHAnsi"/>
          <w:lang w:val="fr-FR"/>
        </w:rPr>
        <w:t xml:space="preserve"> l</w:t>
      </w:r>
      <w:r w:rsidR="00AB1DCF" w:rsidRPr="00AB1DCF">
        <w:rPr>
          <w:rFonts w:asciiTheme="majorHAnsi" w:hAnsiTheme="majorHAnsi"/>
          <w:lang w:val="fr-FR"/>
        </w:rPr>
        <w:t xml:space="preserve">es </w:t>
      </w:r>
      <w:r w:rsidR="00D93C19" w:rsidRPr="00AB1DCF">
        <w:rPr>
          <w:rFonts w:asciiTheme="majorHAnsi" w:hAnsiTheme="majorHAnsi"/>
          <w:lang w:val="fr-FR"/>
        </w:rPr>
        <w:t>développements</w:t>
      </w:r>
      <w:r w:rsidR="00AB1DCF" w:rsidRPr="00AB1DCF">
        <w:rPr>
          <w:rFonts w:asciiTheme="majorHAnsi" w:hAnsiTheme="majorHAnsi"/>
          <w:lang w:val="fr-FR"/>
        </w:rPr>
        <w:t xml:space="preserve"> </w:t>
      </w:r>
      <w:r w:rsidR="00D93C19" w:rsidRPr="00AB1DCF">
        <w:rPr>
          <w:rFonts w:asciiTheme="majorHAnsi" w:hAnsiTheme="majorHAnsi"/>
          <w:lang w:val="fr-FR"/>
        </w:rPr>
        <w:t>technologiques</w:t>
      </w:r>
      <w:r w:rsidR="00AB1DCF" w:rsidRPr="00AB1DCF">
        <w:rPr>
          <w:rFonts w:asciiTheme="majorHAnsi" w:hAnsiTheme="majorHAnsi"/>
          <w:lang w:val="fr-FR"/>
        </w:rPr>
        <w:t xml:space="preserve"> tels qu’internet,</w:t>
      </w:r>
      <w:r w:rsidR="00D93C19">
        <w:rPr>
          <w:rFonts w:asciiTheme="majorHAnsi" w:hAnsiTheme="majorHAnsi"/>
          <w:lang w:val="fr-FR"/>
        </w:rPr>
        <w:t xml:space="preserve"> les </w:t>
      </w:r>
      <w:r w:rsidR="00F51C41">
        <w:rPr>
          <w:rFonts w:asciiTheme="majorHAnsi" w:hAnsiTheme="majorHAnsi"/>
          <w:lang w:val="fr-FR"/>
        </w:rPr>
        <w:t>mé</w:t>
      </w:r>
      <w:r w:rsidR="00AB1DCF" w:rsidRPr="00AB1DCF">
        <w:rPr>
          <w:rFonts w:asciiTheme="majorHAnsi" w:hAnsiTheme="majorHAnsi"/>
          <w:lang w:val="fr-FR"/>
        </w:rPr>
        <w:t>dia</w:t>
      </w:r>
      <w:r w:rsidR="00D93C19">
        <w:rPr>
          <w:rFonts w:asciiTheme="majorHAnsi" w:hAnsiTheme="majorHAnsi"/>
          <w:lang w:val="fr-FR"/>
        </w:rPr>
        <w:t>s</w:t>
      </w:r>
      <w:r w:rsidR="00AB1DCF" w:rsidRPr="00AB1DCF">
        <w:rPr>
          <w:rFonts w:asciiTheme="majorHAnsi" w:hAnsiTheme="majorHAnsi"/>
          <w:lang w:val="fr-FR"/>
        </w:rPr>
        <w:t xml:space="preserve"> et les moyens de </w:t>
      </w:r>
      <w:r w:rsidR="00D93C19" w:rsidRPr="00AB1DCF">
        <w:rPr>
          <w:rFonts w:asciiTheme="majorHAnsi" w:hAnsiTheme="majorHAnsi"/>
          <w:lang w:val="fr-FR"/>
        </w:rPr>
        <w:t>communication</w:t>
      </w:r>
      <w:r w:rsidR="00AB1DCF" w:rsidRPr="00AB1DCF">
        <w:rPr>
          <w:rFonts w:asciiTheme="majorHAnsi" w:hAnsiTheme="majorHAnsi"/>
          <w:lang w:val="fr-FR"/>
        </w:rPr>
        <w:t xml:space="preserve"> ne doivent pas être négligés.</w:t>
      </w:r>
      <w:r w:rsidR="00914B93" w:rsidRPr="00AB1DCF">
        <w:rPr>
          <w:rFonts w:asciiTheme="majorHAnsi" w:hAnsiTheme="majorHAnsi" w:cs="Arial"/>
          <w:color w:val="191919"/>
          <w:lang w:val="fr-FR"/>
        </w:rPr>
        <w:t xml:space="preserve"> </w:t>
      </w:r>
      <w:r w:rsidR="00AB1DCF" w:rsidRPr="00AB1DCF">
        <w:rPr>
          <w:rFonts w:asciiTheme="majorHAnsi" w:hAnsiTheme="majorHAnsi" w:cs="Arial"/>
          <w:color w:val="191919"/>
          <w:lang w:val="fr-FR"/>
        </w:rPr>
        <w:t xml:space="preserve">Ces moyens finissent par </w:t>
      </w:r>
      <w:r w:rsidR="00D93C19" w:rsidRPr="00AB1DCF">
        <w:rPr>
          <w:rFonts w:asciiTheme="majorHAnsi" w:hAnsiTheme="majorHAnsi" w:cs="Arial"/>
          <w:color w:val="191919"/>
          <w:lang w:val="fr-FR"/>
        </w:rPr>
        <w:t>interférer</w:t>
      </w:r>
      <w:r w:rsidR="00AB1DCF" w:rsidRPr="00AB1DCF">
        <w:rPr>
          <w:rFonts w:asciiTheme="majorHAnsi" w:hAnsiTheme="majorHAnsi" w:cs="Arial"/>
          <w:color w:val="191919"/>
          <w:lang w:val="fr-FR"/>
        </w:rPr>
        <w:t xml:space="preserve"> dans le contexte de la mobilité de par le potentiel qu’ils représentent dans la réduction temps-e</w:t>
      </w:r>
      <w:r w:rsidR="00AB1DCF">
        <w:rPr>
          <w:rFonts w:asciiTheme="majorHAnsi" w:hAnsiTheme="majorHAnsi" w:cs="Arial"/>
          <w:color w:val="191919"/>
          <w:lang w:val="fr-FR"/>
        </w:rPr>
        <w:t>space et par le remplacement des relat</w:t>
      </w:r>
      <w:r w:rsidR="007F22D1">
        <w:rPr>
          <w:rFonts w:asciiTheme="majorHAnsi" w:hAnsiTheme="majorHAnsi" w:cs="Arial"/>
          <w:color w:val="191919"/>
          <w:lang w:val="fr-FR"/>
        </w:rPr>
        <w:t>io</w:t>
      </w:r>
      <w:r w:rsidR="00AB1DCF">
        <w:rPr>
          <w:rFonts w:asciiTheme="majorHAnsi" w:hAnsiTheme="majorHAnsi" w:cs="Arial"/>
          <w:color w:val="191919"/>
          <w:lang w:val="fr-FR"/>
        </w:rPr>
        <w:t>ns face à</w:t>
      </w:r>
      <w:r w:rsidR="00D93C19">
        <w:rPr>
          <w:rFonts w:asciiTheme="majorHAnsi" w:hAnsiTheme="majorHAnsi" w:cs="Arial"/>
          <w:color w:val="191919"/>
          <w:lang w:val="fr-FR"/>
        </w:rPr>
        <w:t xml:space="preserve"> face</w:t>
      </w:r>
      <w:r w:rsidR="00AB1DCF">
        <w:rPr>
          <w:rFonts w:asciiTheme="majorHAnsi" w:hAnsiTheme="majorHAnsi" w:cs="Arial"/>
          <w:color w:val="191919"/>
          <w:lang w:val="fr-FR"/>
        </w:rPr>
        <w:t xml:space="preserve"> </w:t>
      </w:r>
      <w:r w:rsidR="00006281">
        <w:rPr>
          <w:rFonts w:asciiTheme="majorHAnsi" w:hAnsiTheme="majorHAnsi" w:cs="Arial"/>
          <w:color w:val="191919"/>
          <w:lang w:val="en-US"/>
        </w:rPr>
        <w:fldChar w:fldCharType="begin" w:fldLock="1"/>
      </w:r>
      <w:r w:rsidR="00190C89" w:rsidRPr="00AB1DCF">
        <w:rPr>
          <w:rFonts w:asciiTheme="majorHAnsi" w:hAnsiTheme="majorHAnsi" w:cs="Arial"/>
          <w:color w:val="191919"/>
          <w:lang w:val="fr-FR"/>
        </w:rPr>
        <w:instrText>ADDIN CSL_CITATION { "citationItems" : [ { "id" : "ITEM-1", "itemData" : { "author" : [ { "dropping-particle" : "", "family" : "Smith", "given" : "Darren P.", "non-dropping-particle" : "", "parse-names" : false, "suffix" : "" }, { "dropping-particle" : "", "family" : "Finney", "given" : "Nissa", "non-dropping-particle" : "", "parse-names" : false, "suffix" : "" }, { "dropping-particle" : "", "family" : "Halfacree", "given" : "Keith", "non-dropping-particle" : "", "parse-names" : false, "suffix" : "" }, { "dropping-particle" : "", "family" : "Walford", "given" : "Nigel", "non-dropping-particle" : "", "parse-names" : false, "suffix" : "" } ], "id" : "ITEM-1", "issued" : { "date-parts" : [ [ "2015" ] ] }, "publisher" : "Ashgate Publishing limited", "publisher-place" : "Farnham", "title" : "Internal migration : geographical perspectives and processes", "type" : "book" }, "uris" : [ "http://www.mendeley.com/documents/?uuid=cfd057d1-682a-4f8b-bded-f1a645a5724b" ] } ], "mendeley" : { "formattedCitation" : "(Smith et al., 2015)", "plainTextFormattedCitation" : "(Smith et al., 2015)", "previouslyFormattedCitation" : "(Smith et al., 2015)" }, "properties" : { "noteIndex" : 0 }, "schema" : "https://github.com/citation-style-language/schema/raw/master/csl-citation.json" }</w:instrText>
      </w:r>
      <w:r w:rsidR="00006281">
        <w:rPr>
          <w:rFonts w:asciiTheme="majorHAnsi" w:hAnsiTheme="majorHAnsi" w:cs="Arial"/>
          <w:color w:val="191919"/>
          <w:lang w:val="en-US"/>
        </w:rPr>
        <w:fldChar w:fldCharType="separate"/>
      </w:r>
      <w:r w:rsidR="00190C89" w:rsidRPr="00AB1DCF">
        <w:rPr>
          <w:rFonts w:asciiTheme="majorHAnsi" w:hAnsiTheme="majorHAnsi" w:cs="Arial"/>
          <w:noProof/>
          <w:color w:val="191919"/>
          <w:lang w:val="fr-FR"/>
        </w:rPr>
        <w:t>(Smith et al., 2015)</w:t>
      </w:r>
      <w:r w:rsidR="00006281">
        <w:rPr>
          <w:rFonts w:asciiTheme="majorHAnsi" w:hAnsiTheme="majorHAnsi" w:cs="Arial"/>
          <w:color w:val="191919"/>
          <w:lang w:val="en-US"/>
        </w:rPr>
        <w:fldChar w:fldCharType="end"/>
      </w:r>
      <w:r w:rsidR="00190C89" w:rsidRPr="00AB1DCF">
        <w:rPr>
          <w:rFonts w:asciiTheme="majorHAnsi" w:hAnsiTheme="majorHAnsi" w:cs="Arial"/>
          <w:color w:val="191919"/>
          <w:lang w:val="fr-FR"/>
        </w:rPr>
        <w:t>.</w:t>
      </w:r>
    </w:p>
    <w:p w14:paraId="0DBF8932" w14:textId="77777777" w:rsidR="00EE6D37" w:rsidRPr="00C54560" w:rsidRDefault="00D93C19" w:rsidP="00EB6FC4">
      <w:pPr>
        <w:spacing w:after="120" w:line="276" w:lineRule="auto"/>
        <w:jc w:val="both"/>
        <w:rPr>
          <w:rFonts w:asciiTheme="majorHAnsi" w:hAnsiTheme="majorHAnsi"/>
          <w:lang w:val="fr-FR"/>
        </w:rPr>
      </w:pPr>
      <w:r w:rsidRPr="00D97B29">
        <w:rPr>
          <w:rFonts w:asciiTheme="majorHAnsi" w:hAnsiTheme="majorHAnsi"/>
          <w:lang w:val="fr-FR"/>
        </w:rPr>
        <w:t xml:space="preserve">De nombreux auteurs ont </w:t>
      </w:r>
      <w:r w:rsidR="00D30A97" w:rsidRPr="00D30A97">
        <w:rPr>
          <w:rFonts w:asciiTheme="majorHAnsi" w:hAnsiTheme="majorHAnsi"/>
          <w:lang w:val="fr-FR"/>
        </w:rPr>
        <w:t>préconisé</w:t>
      </w:r>
      <w:r w:rsidRPr="00D97B29">
        <w:rPr>
          <w:rFonts w:asciiTheme="majorHAnsi" w:hAnsiTheme="majorHAnsi"/>
          <w:lang w:val="fr-FR"/>
        </w:rPr>
        <w:t xml:space="preserve"> l’importance de l’insertion de la famille dans le cadre de la thématique des migrations</w:t>
      </w:r>
      <w:r w:rsidR="00EE6D37" w:rsidRPr="00D97B29">
        <w:rPr>
          <w:rFonts w:asciiTheme="majorHAnsi" w:hAnsiTheme="majorHAnsi"/>
          <w:lang w:val="fr-FR"/>
        </w:rPr>
        <w:t>,</w:t>
      </w:r>
      <w:r w:rsidRPr="00D97B29">
        <w:rPr>
          <w:rFonts w:asciiTheme="majorHAnsi" w:hAnsiTheme="majorHAnsi"/>
          <w:lang w:val="fr-FR"/>
        </w:rPr>
        <w:t xml:space="preserve"> parmi ceux-ci</w:t>
      </w:r>
      <w:r w:rsidR="00EE6D37" w:rsidRPr="00D97B29">
        <w:rPr>
          <w:rFonts w:asciiTheme="majorHAnsi" w:hAnsiTheme="majorHAnsi"/>
          <w:lang w:val="fr-FR"/>
        </w:rPr>
        <w:t xml:space="preserve"> Cooke</w:t>
      </w:r>
      <w:r w:rsidR="00D30A97">
        <w:rPr>
          <w:rFonts w:asciiTheme="majorHAnsi" w:hAnsiTheme="majorHAnsi"/>
          <w:lang w:val="fr-FR"/>
        </w:rPr>
        <w:t xml:space="preserve"> </w:t>
      </w:r>
      <w:r w:rsidR="00006281">
        <w:rPr>
          <w:rFonts w:asciiTheme="majorHAnsi" w:hAnsiTheme="majorHAnsi"/>
        </w:rPr>
        <w:fldChar w:fldCharType="begin" w:fldLock="1"/>
      </w:r>
      <w:r w:rsidR="008941F1" w:rsidRPr="00D97B29">
        <w:rPr>
          <w:rFonts w:asciiTheme="majorHAnsi" w:hAnsiTheme="majorHAnsi"/>
          <w:lang w:val="fr-FR"/>
        </w:rPr>
        <w:instrText>ADDIN CSL_CITATION { "citationItems" : [ { "id" : "ITEM-1", "itemData" : { "DOI" : "10.1002/psp.500", "author" : [ { "dropping-particle" : "", "family" : "Cooke", "given" : "Thomas J.", "non-dropping-particle" : "", "parse-names" : false, "suffix" : "" } ], "container-title" : "POPULATION, SPACE AND PLACE", "id" : "ITEM-1", "issue" : "14", "issued" : { "date-parts" : [ [ "2008" ] ] }, "page" : "255-265", "title" : "Migration in a Family Way", "type" : "article-journal" }, "locator" : "255", "suppress-author" : 1, "uris" : [ "http://www.mendeley.com/documents/?uuid=99722b56-5d0e-4e93-8f04-eb83fa127a55" ] } ], "mendeley" : { "formattedCitation" : "(2008, p. 255)", "plainTextFormattedCitation" : "(2008, p. 255)", "previouslyFormattedCitation" : "(2008, p. 255)" }, "properties" : { "noteIndex" : 0 }, "schema" : "https://github.com/citation-style-language/schema/raw/master/csl-citation.json" }</w:instrText>
      </w:r>
      <w:r w:rsidR="00006281">
        <w:rPr>
          <w:rFonts w:asciiTheme="majorHAnsi" w:hAnsiTheme="majorHAnsi"/>
        </w:rPr>
        <w:fldChar w:fldCharType="separate"/>
      </w:r>
      <w:r w:rsidR="00190C89" w:rsidRPr="00D97B29">
        <w:rPr>
          <w:rFonts w:asciiTheme="majorHAnsi" w:hAnsiTheme="majorHAnsi"/>
          <w:noProof/>
          <w:lang w:val="fr-FR"/>
        </w:rPr>
        <w:t>(2008, p. 255)</w:t>
      </w:r>
      <w:r w:rsidR="00006281">
        <w:rPr>
          <w:rFonts w:asciiTheme="majorHAnsi" w:hAnsiTheme="majorHAnsi"/>
        </w:rPr>
        <w:fldChar w:fldCharType="end"/>
      </w:r>
      <w:r w:rsidR="00D97B29" w:rsidRPr="00D97B29">
        <w:rPr>
          <w:rFonts w:asciiTheme="majorHAnsi" w:hAnsiTheme="majorHAnsi"/>
          <w:lang w:val="fr-FR"/>
        </w:rPr>
        <w:t xml:space="preserve"> </w:t>
      </w:r>
      <w:r w:rsidR="00012BC7">
        <w:rPr>
          <w:rFonts w:asciiTheme="majorHAnsi" w:hAnsiTheme="majorHAnsi"/>
          <w:lang w:val="fr-FR"/>
        </w:rPr>
        <w:t>soutient que «</w:t>
      </w:r>
      <w:r w:rsidR="00D97B29">
        <w:rPr>
          <w:rFonts w:asciiTheme="majorHAnsi" w:hAnsiTheme="majorHAnsi"/>
          <w:lang w:val="fr-FR"/>
        </w:rPr>
        <w:t>la recherc</w:t>
      </w:r>
      <w:r w:rsidR="00D97B29" w:rsidRPr="00D97B29">
        <w:rPr>
          <w:rFonts w:asciiTheme="majorHAnsi" w:hAnsiTheme="majorHAnsi"/>
          <w:lang w:val="fr-FR"/>
        </w:rPr>
        <w:t>h</w:t>
      </w:r>
      <w:r w:rsidR="00D97B29">
        <w:rPr>
          <w:rFonts w:asciiTheme="majorHAnsi" w:hAnsiTheme="majorHAnsi"/>
          <w:lang w:val="fr-FR"/>
        </w:rPr>
        <w:t xml:space="preserve">e </w:t>
      </w:r>
      <w:r w:rsidR="00D97B29" w:rsidRPr="00D97B29">
        <w:rPr>
          <w:rFonts w:asciiTheme="majorHAnsi" w:hAnsiTheme="majorHAnsi"/>
          <w:lang w:val="fr-FR"/>
        </w:rPr>
        <w:t>sur les migrations internes devrait inclure la famille</w:t>
      </w:r>
      <w:r w:rsidR="00D97B29">
        <w:rPr>
          <w:rFonts w:asciiTheme="majorHAnsi" w:hAnsiTheme="majorHAnsi"/>
          <w:lang w:val="fr-FR"/>
        </w:rPr>
        <w:t xml:space="preserve"> en tant qu’élément central ». </w:t>
      </w:r>
      <w:r w:rsidR="00D97B29" w:rsidRPr="00D97B29">
        <w:rPr>
          <w:rFonts w:asciiTheme="majorHAnsi" w:hAnsiTheme="majorHAnsi"/>
          <w:lang w:val="fr-FR"/>
        </w:rPr>
        <w:t>Il c</w:t>
      </w:r>
      <w:r w:rsidR="00A66191">
        <w:rPr>
          <w:rFonts w:asciiTheme="majorHAnsi" w:hAnsiTheme="majorHAnsi"/>
          <w:lang w:val="fr-FR"/>
        </w:rPr>
        <w:t xml:space="preserve">onsidère inclusivement que la </w:t>
      </w:r>
      <w:r w:rsidR="00F51C41">
        <w:rPr>
          <w:rFonts w:asciiTheme="majorHAnsi" w:hAnsiTheme="majorHAnsi"/>
          <w:lang w:val="fr-FR"/>
        </w:rPr>
        <w:t>« </w:t>
      </w:r>
      <w:r w:rsidR="00D97B29" w:rsidRPr="00D97B29">
        <w:rPr>
          <w:rFonts w:asciiTheme="majorHAnsi" w:hAnsiTheme="majorHAnsi"/>
          <w:lang w:val="fr-FR"/>
        </w:rPr>
        <w:t>migration familiale doit se p</w:t>
      </w:r>
      <w:r w:rsidR="00D97B29">
        <w:rPr>
          <w:rFonts w:asciiTheme="majorHAnsi" w:hAnsiTheme="majorHAnsi"/>
          <w:lang w:val="fr-FR"/>
        </w:rPr>
        <w:t>o</w:t>
      </w:r>
      <w:r w:rsidR="00D97B29" w:rsidRPr="00D97B29">
        <w:rPr>
          <w:rFonts w:asciiTheme="majorHAnsi" w:hAnsiTheme="majorHAnsi"/>
          <w:lang w:val="fr-FR"/>
        </w:rPr>
        <w:t xml:space="preserve">ursuivre et se situer au centre du débat </w:t>
      </w:r>
      <w:r w:rsidR="00D97B29">
        <w:rPr>
          <w:rFonts w:asciiTheme="majorHAnsi" w:hAnsiTheme="majorHAnsi"/>
          <w:lang w:val="fr-FR"/>
        </w:rPr>
        <w:t xml:space="preserve">relatif à </w:t>
      </w:r>
      <w:r w:rsidR="00AF3D98">
        <w:rPr>
          <w:rFonts w:asciiTheme="majorHAnsi" w:hAnsiTheme="majorHAnsi"/>
          <w:lang w:val="fr-FR"/>
        </w:rPr>
        <w:t xml:space="preserve">la </w:t>
      </w:r>
      <w:r w:rsidR="004841B9">
        <w:rPr>
          <w:rFonts w:asciiTheme="majorHAnsi" w:hAnsiTheme="majorHAnsi"/>
          <w:lang w:val="fr-FR"/>
        </w:rPr>
        <w:t xml:space="preserve">migration </w:t>
      </w:r>
      <w:r w:rsidR="00AF3D98">
        <w:rPr>
          <w:rFonts w:asciiTheme="majorHAnsi" w:hAnsiTheme="majorHAnsi"/>
          <w:lang w:val="fr-FR"/>
        </w:rPr>
        <w:t>en</w:t>
      </w:r>
      <w:r w:rsidR="001A3F46" w:rsidRPr="00D97B29">
        <w:rPr>
          <w:rFonts w:asciiTheme="majorHAnsi" w:hAnsiTheme="majorHAnsi"/>
          <w:lang w:val="fr-FR"/>
        </w:rPr>
        <w:t xml:space="preserve"> </w:t>
      </w:r>
      <w:r w:rsidR="00AF3D98" w:rsidRPr="00D97B29">
        <w:rPr>
          <w:rFonts w:asciiTheme="majorHAnsi" w:hAnsiTheme="majorHAnsi"/>
          <w:lang w:val="fr-FR"/>
        </w:rPr>
        <w:t>gé</w:t>
      </w:r>
      <w:r w:rsidR="00AF3D98">
        <w:rPr>
          <w:rFonts w:asciiTheme="majorHAnsi" w:hAnsiTheme="majorHAnsi"/>
          <w:lang w:val="fr-FR"/>
        </w:rPr>
        <w:t>né</w:t>
      </w:r>
      <w:r w:rsidR="00AF3D98" w:rsidRPr="00D97B29">
        <w:rPr>
          <w:rFonts w:asciiTheme="majorHAnsi" w:hAnsiTheme="majorHAnsi"/>
          <w:lang w:val="fr-FR"/>
        </w:rPr>
        <w:t>ral</w:t>
      </w:r>
      <w:r w:rsidR="00653405">
        <w:rPr>
          <w:rFonts w:asciiTheme="majorHAnsi" w:hAnsiTheme="majorHAnsi"/>
          <w:lang w:val="fr-FR"/>
        </w:rPr>
        <w:t xml:space="preserve"> </w:t>
      </w:r>
      <w:r w:rsidR="00012BC7">
        <w:rPr>
          <w:rFonts w:asciiTheme="majorHAnsi" w:hAnsiTheme="majorHAnsi"/>
          <w:lang w:val="fr-FR"/>
        </w:rPr>
        <w:t xml:space="preserve">» </w:t>
      </w:r>
      <w:r w:rsidR="00190C89" w:rsidRPr="00D97B29">
        <w:rPr>
          <w:rFonts w:asciiTheme="majorHAnsi" w:hAnsiTheme="majorHAnsi"/>
          <w:lang w:val="fr-FR"/>
        </w:rPr>
        <w:t>(Cooke 2008, 255)</w:t>
      </w:r>
      <w:r w:rsidR="00EE6D37" w:rsidRPr="00D97B29">
        <w:rPr>
          <w:rFonts w:asciiTheme="majorHAnsi" w:hAnsiTheme="majorHAnsi"/>
          <w:lang w:val="fr-FR"/>
        </w:rPr>
        <w:t xml:space="preserve">. </w:t>
      </w:r>
      <w:r w:rsidR="008D7D31" w:rsidRPr="008D7D31">
        <w:rPr>
          <w:rFonts w:asciiTheme="majorHAnsi" w:hAnsiTheme="majorHAnsi"/>
          <w:lang w:val="fr-FR"/>
        </w:rPr>
        <w:t xml:space="preserve">Bien que dans un contexte relativement plus </w:t>
      </w:r>
      <w:r w:rsidR="00655C13">
        <w:rPr>
          <w:rFonts w:asciiTheme="majorHAnsi" w:hAnsiTheme="majorHAnsi"/>
          <w:lang w:val="fr-FR"/>
        </w:rPr>
        <w:t xml:space="preserve">large </w:t>
      </w:r>
      <w:proofErr w:type="spellStart"/>
      <w:r w:rsidR="008D7D31" w:rsidRPr="008D7D31">
        <w:rPr>
          <w:rFonts w:asciiTheme="majorHAnsi" w:hAnsiTheme="majorHAnsi"/>
          <w:lang w:val="fr-FR"/>
        </w:rPr>
        <w:t>Kofman</w:t>
      </w:r>
      <w:proofErr w:type="spellEnd"/>
      <w:r w:rsidR="008D7D31" w:rsidRPr="008D7D31">
        <w:rPr>
          <w:rFonts w:asciiTheme="majorHAnsi" w:hAnsiTheme="majorHAnsi"/>
          <w:lang w:val="fr-FR"/>
        </w:rPr>
        <w:t xml:space="preserve"> critiquait</w:t>
      </w:r>
      <w:r w:rsidR="00E55A87" w:rsidRPr="008D7D31">
        <w:rPr>
          <w:rFonts w:asciiTheme="majorHAnsi" w:hAnsiTheme="majorHAnsi"/>
          <w:lang w:val="fr-FR"/>
        </w:rPr>
        <w:t xml:space="preserve"> </w:t>
      </w:r>
      <w:r w:rsidR="008D7D31" w:rsidRPr="008D7D31">
        <w:rPr>
          <w:rFonts w:asciiTheme="majorHAnsi" w:hAnsiTheme="majorHAnsi"/>
          <w:lang w:val="fr-FR"/>
        </w:rPr>
        <w:t>l</w:t>
      </w:r>
      <w:r w:rsidR="00E55A87" w:rsidRPr="008D7D31">
        <w:rPr>
          <w:rFonts w:asciiTheme="majorHAnsi" w:hAnsiTheme="majorHAnsi"/>
          <w:lang w:val="fr-FR"/>
        </w:rPr>
        <w:t xml:space="preserve">a </w:t>
      </w:r>
      <w:r w:rsidR="00A66191">
        <w:rPr>
          <w:rFonts w:asciiTheme="majorHAnsi" w:hAnsiTheme="majorHAnsi"/>
          <w:lang w:val="fr-FR"/>
        </w:rPr>
        <w:t>«</w:t>
      </w:r>
      <w:r w:rsidR="00E55A87" w:rsidRPr="008D7D31">
        <w:rPr>
          <w:rFonts w:asciiTheme="majorHAnsi" w:hAnsiTheme="majorHAnsi"/>
          <w:lang w:val="fr-FR"/>
        </w:rPr>
        <w:t>marginali</w:t>
      </w:r>
      <w:r w:rsidR="008D7D31" w:rsidRPr="008D7D31">
        <w:rPr>
          <w:rFonts w:asciiTheme="majorHAnsi" w:hAnsiTheme="majorHAnsi"/>
          <w:lang w:val="fr-FR"/>
        </w:rPr>
        <w:t>sation théorique</w:t>
      </w:r>
      <w:r w:rsidR="00E55A87" w:rsidRPr="008D7D31">
        <w:rPr>
          <w:rFonts w:asciiTheme="majorHAnsi" w:hAnsiTheme="majorHAnsi"/>
          <w:lang w:val="fr-FR"/>
        </w:rPr>
        <w:t xml:space="preserve">, </w:t>
      </w:r>
      <w:r w:rsidR="008D7D31" w:rsidRPr="008D7D31">
        <w:rPr>
          <w:rFonts w:asciiTheme="majorHAnsi" w:hAnsiTheme="majorHAnsi"/>
          <w:lang w:val="fr-FR"/>
        </w:rPr>
        <w:t>méthodologique</w:t>
      </w:r>
      <w:r w:rsidR="00E55A87" w:rsidRPr="008D7D31">
        <w:rPr>
          <w:rFonts w:asciiTheme="majorHAnsi" w:hAnsiTheme="majorHAnsi"/>
          <w:lang w:val="fr-FR"/>
        </w:rPr>
        <w:t xml:space="preserve"> e</w:t>
      </w:r>
      <w:r w:rsidR="008D7D31" w:rsidRPr="008D7D31">
        <w:rPr>
          <w:rFonts w:asciiTheme="majorHAnsi" w:hAnsiTheme="majorHAnsi"/>
          <w:lang w:val="fr-FR"/>
        </w:rPr>
        <w:t>t empirique</w:t>
      </w:r>
      <w:r w:rsidR="00A66191">
        <w:rPr>
          <w:rFonts w:asciiTheme="majorHAnsi" w:hAnsiTheme="majorHAnsi"/>
          <w:lang w:val="fr-FR"/>
        </w:rPr>
        <w:t>» à laquelle l</w:t>
      </w:r>
      <w:r w:rsidR="008D7D31" w:rsidRPr="008D7D31">
        <w:rPr>
          <w:rFonts w:asciiTheme="majorHAnsi" w:hAnsiTheme="majorHAnsi"/>
          <w:lang w:val="fr-FR"/>
        </w:rPr>
        <w:t>’étude de la migration familiale était vouée</w:t>
      </w:r>
      <w:r w:rsidR="008941F1" w:rsidRPr="008D7D31">
        <w:rPr>
          <w:rFonts w:asciiTheme="majorHAnsi" w:hAnsiTheme="majorHAnsi"/>
          <w:lang w:val="fr-FR"/>
        </w:rPr>
        <w:t xml:space="preserve"> </w:t>
      </w:r>
      <w:r w:rsidR="00006281">
        <w:rPr>
          <w:rFonts w:asciiTheme="majorHAnsi" w:hAnsiTheme="majorHAnsi"/>
        </w:rPr>
        <w:fldChar w:fldCharType="begin" w:fldLock="1"/>
      </w:r>
      <w:r w:rsidR="009E25CB" w:rsidRPr="008D7D31">
        <w:rPr>
          <w:rFonts w:asciiTheme="majorHAnsi" w:hAnsiTheme="majorHAnsi"/>
          <w:lang w:val="fr-FR"/>
        </w:rPr>
        <w:instrText>ADDIN CSL_CITATION { "citationItems" : [ { "id" : "ITEM-1", "itemData" : { "author" : [ { "dropping-particle" : "", "family" : "Kofman", "given" : "Eleonore", "non-dropping-particle" : "", "parse-names" : false, "suffix" : "" } ], "container-title" : "Journal of Ethnic and Migration Studies", "id" : "ITEM-1", "issue" : "2", "issued" : { "date-parts" : [ [ "2004" ] ] }, "page" : "243-262", "title" : "Family- Related Migration: A Critical Review of European Studies", "type" : "article-journal", "volume" : "30" }, "locator" : "243", "suppress-author" : 1, "uris" : [ "http://www.mendeley.com/documents/?uuid=e5599ad9-d1bc-45a2-88c2-cddf4cfae6cc" ] } ], "mendeley" : { "formattedCitation" : "(2004, p. 243)", "plainTextFormattedCitation" : "(2004, p. 243)", "previouslyFormattedCitation" : "(2004, p. 243)" }, "properties" : { "noteIndex" : 0 }, "schema" : "https://github.com/citation-style-language/schema/raw/master/csl-citation.json" }</w:instrText>
      </w:r>
      <w:r w:rsidR="00006281">
        <w:rPr>
          <w:rFonts w:asciiTheme="majorHAnsi" w:hAnsiTheme="majorHAnsi"/>
        </w:rPr>
        <w:fldChar w:fldCharType="separate"/>
      </w:r>
      <w:r w:rsidR="008941F1" w:rsidRPr="008D7D31">
        <w:rPr>
          <w:rFonts w:asciiTheme="majorHAnsi" w:hAnsiTheme="majorHAnsi"/>
          <w:noProof/>
          <w:lang w:val="fr-FR"/>
        </w:rPr>
        <w:t>(2004, p. 243)</w:t>
      </w:r>
      <w:r w:rsidR="00006281">
        <w:rPr>
          <w:rFonts w:asciiTheme="majorHAnsi" w:hAnsiTheme="majorHAnsi"/>
        </w:rPr>
        <w:fldChar w:fldCharType="end"/>
      </w:r>
      <w:r w:rsidR="008941F1" w:rsidRPr="008D7D31">
        <w:rPr>
          <w:rFonts w:asciiTheme="majorHAnsi" w:hAnsiTheme="majorHAnsi"/>
          <w:lang w:val="fr-FR"/>
        </w:rPr>
        <w:t>.</w:t>
      </w:r>
      <w:r w:rsidR="008D7D31">
        <w:rPr>
          <w:rFonts w:asciiTheme="majorHAnsi" w:hAnsiTheme="majorHAnsi"/>
          <w:lang w:val="fr-FR"/>
        </w:rPr>
        <w:t xml:space="preserve"> </w:t>
      </w:r>
      <w:r w:rsidR="008D7D31" w:rsidRPr="008D7D31">
        <w:rPr>
          <w:rFonts w:asciiTheme="majorHAnsi" w:hAnsiTheme="majorHAnsi"/>
          <w:lang w:val="fr-FR"/>
        </w:rPr>
        <w:t xml:space="preserve">Il considère qu’il </w:t>
      </w:r>
      <w:r w:rsidR="008D7D31" w:rsidRPr="00A66191">
        <w:rPr>
          <w:rFonts w:asciiTheme="majorHAnsi" w:hAnsiTheme="majorHAnsi"/>
          <w:lang w:val="fr-FR"/>
        </w:rPr>
        <w:t xml:space="preserve">y a une sur valorisation de la migration du travail et un oubli de la migration de </w:t>
      </w:r>
      <w:r w:rsidR="004841B9" w:rsidRPr="00A66191">
        <w:rPr>
          <w:rFonts w:asciiTheme="majorHAnsi" w:hAnsiTheme="majorHAnsi"/>
          <w:lang w:val="fr-FR"/>
        </w:rPr>
        <w:t>regroupements</w:t>
      </w:r>
      <w:r w:rsidR="008D7D31" w:rsidRPr="00A66191">
        <w:rPr>
          <w:rFonts w:asciiTheme="majorHAnsi" w:hAnsiTheme="majorHAnsi"/>
          <w:lang w:val="fr-FR"/>
        </w:rPr>
        <w:t xml:space="preserve"> et </w:t>
      </w:r>
      <w:r w:rsidR="003C28B6" w:rsidRPr="00A66191">
        <w:rPr>
          <w:rFonts w:asciiTheme="majorHAnsi" w:hAnsiTheme="majorHAnsi"/>
          <w:lang w:val="fr-FR"/>
        </w:rPr>
        <w:t>de migration de règlement</w:t>
      </w:r>
      <w:r w:rsidR="009E25CB" w:rsidRPr="00A66191">
        <w:rPr>
          <w:rFonts w:asciiTheme="majorHAnsi" w:hAnsiTheme="majorHAnsi"/>
          <w:color w:val="FF0000"/>
          <w:lang w:val="fr-FR"/>
        </w:rPr>
        <w:t xml:space="preserve"> </w:t>
      </w:r>
      <w:r w:rsidR="008D7D31" w:rsidRPr="00A66191">
        <w:rPr>
          <w:rFonts w:asciiTheme="majorHAnsi" w:hAnsiTheme="majorHAnsi"/>
          <w:lang w:val="fr-FR"/>
        </w:rPr>
        <w:t>de la famille</w:t>
      </w:r>
      <w:r w:rsidR="00A66191">
        <w:rPr>
          <w:rFonts w:asciiTheme="majorHAnsi" w:hAnsiTheme="majorHAnsi"/>
          <w:lang w:val="fr-FR"/>
        </w:rPr>
        <w:t xml:space="preserve"> dans la</w:t>
      </w:r>
      <w:r w:rsidR="008D7D31">
        <w:rPr>
          <w:rFonts w:asciiTheme="majorHAnsi" w:hAnsiTheme="majorHAnsi"/>
          <w:lang w:val="fr-FR"/>
        </w:rPr>
        <w:t xml:space="preserve"> théorie économique.</w:t>
      </w:r>
      <w:r w:rsidR="003C28B6" w:rsidRPr="008D7D31">
        <w:rPr>
          <w:rFonts w:asciiTheme="majorHAnsi" w:hAnsiTheme="majorHAnsi"/>
          <w:lang w:val="fr-FR"/>
        </w:rPr>
        <w:t xml:space="preserve"> </w:t>
      </w:r>
      <w:r w:rsidR="00DD230E" w:rsidRPr="00AF36A6">
        <w:rPr>
          <w:rFonts w:asciiTheme="majorHAnsi" w:hAnsiTheme="majorHAnsi"/>
          <w:lang w:val="fr-FR"/>
        </w:rPr>
        <w:t xml:space="preserve">Il défend une </w:t>
      </w:r>
      <w:r w:rsidR="00AF36A6" w:rsidRPr="00AF36A6">
        <w:rPr>
          <w:rFonts w:asciiTheme="majorHAnsi" w:hAnsiTheme="majorHAnsi"/>
          <w:lang w:val="fr-FR"/>
        </w:rPr>
        <w:t>perspective d</w:t>
      </w:r>
      <w:r w:rsidR="00DD230E" w:rsidRPr="00AF36A6">
        <w:rPr>
          <w:rFonts w:asciiTheme="majorHAnsi" w:hAnsiTheme="majorHAnsi"/>
          <w:lang w:val="fr-FR"/>
        </w:rPr>
        <w:t>’</w:t>
      </w:r>
      <w:r w:rsidR="00AF36A6" w:rsidRPr="00AF36A6">
        <w:rPr>
          <w:rFonts w:asciiTheme="majorHAnsi" w:hAnsiTheme="majorHAnsi"/>
          <w:lang w:val="fr-FR"/>
        </w:rPr>
        <w:t>an</w:t>
      </w:r>
      <w:r w:rsidR="00DD230E" w:rsidRPr="00AF36A6">
        <w:rPr>
          <w:rFonts w:asciiTheme="majorHAnsi" w:hAnsiTheme="majorHAnsi"/>
          <w:lang w:val="fr-FR"/>
        </w:rPr>
        <w:t xml:space="preserve">alyse </w:t>
      </w:r>
      <w:r w:rsidR="00AF36A6" w:rsidRPr="00AF36A6">
        <w:rPr>
          <w:rFonts w:asciiTheme="majorHAnsi" w:hAnsiTheme="majorHAnsi"/>
          <w:lang w:val="fr-FR"/>
        </w:rPr>
        <w:t xml:space="preserve">plus approfondie comprenant les relations entre les individus et l’Etat , ainsi que l’association entre migration </w:t>
      </w:r>
      <w:r w:rsidR="00BD0C5D" w:rsidRPr="00AF36A6">
        <w:rPr>
          <w:rFonts w:asciiTheme="majorHAnsi" w:hAnsiTheme="majorHAnsi"/>
          <w:lang w:val="fr-FR"/>
        </w:rPr>
        <w:t>familiale</w:t>
      </w:r>
      <w:r w:rsidR="00AF36A6" w:rsidRPr="00AF36A6">
        <w:rPr>
          <w:rFonts w:asciiTheme="majorHAnsi" w:hAnsiTheme="majorHAnsi"/>
          <w:lang w:val="fr-FR"/>
        </w:rPr>
        <w:t xml:space="preserve"> et dépendance de la femme plus que</w:t>
      </w:r>
      <w:r w:rsidR="00AF36A6">
        <w:rPr>
          <w:rFonts w:asciiTheme="majorHAnsi" w:hAnsiTheme="majorHAnsi"/>
          <w:lang w:val="fr-FR"/>
        </w:rPr>
        <w:t xml:space="preserve"> </w:t>
      </w:r>
      <w:r w:rsidR="00AF36A6" w:rsidRPr="00AF36A6">
        <w:rPr>
          <w:rFonts w:asciiTheme="majorHAnsi" w:hAnsiTheme="majorHAnsi"/>
          <w:lang w:val="fr-FR"/>
        </w:rPr>
        <w:t>du travail et</w:t>
      </w:r>
      <w:r w:rsidR="00BD0C5D">
        <w:rPr>
          <w:rFonts w:asciiTheme="majorHAnsi" w:hAnsiTheme="majorHAnsi"/>
          <w:lang w:val="fr-FR"/>
        </w:rPr>
        <w:t xml:space="preserve"> de</w:t>
      </w:r>
      <w:r w:rsidR="00AF36A6" w:rsidRPr="00AF36A6">
        <w:rPr>
          <w:rFonts w:asciiTheme="majorHAnsi" w:hAnsiTheme="majorHAnsi"/>
          <w:lang w:val="fr-FR"/>
        </w:rPr>
        <w:t xml:space="preserve"> la production</w:t>
      </w:r>
      <w:r w:rsidR="00D02D41" w:rsidRPr="00AF36A6">
        <w:rPr>
          <w:rFonts w:asciiTheme="majorHAnsi" w:hAnsiTheme="majorHAnsi"/>
          <w:lang w:val="fr-FR"/>
        </w:rPr>
        <w:t>.</w:t>
      </w:r>
      <w:r w:rsidR="00006281">
        <w:rPr>
          <w:rFonts w:asciiTheme="majorHAnsi" w:hAnsiTheme="majorHAnsi"/>
        </w:rPr>
        <w:fldChar w:fldCharType="begin" w:fldLock="1"/>
      </w:r>
      <w:r w:rsidR="008D661D" w:rsidRPr="00AF36A6">
        <w:rPr>
          <w:rFonts w:asciiTheme="majorHAnsi" w:hAnsiTheme="majorHAnsi"/>
          <w:lang w:val="fr-FR"/>
        </w:rPr>
        <w:instrText>ADDIN CSL_CITATION { "citationItems" : [ { "id" : "ITEM-1", "itemData" : { "author" : [ { "dropping-particle" : "", "family" : "Kofman", "given" : "Eleonore", "non-dropping-particle" : "", "parse-names" : false, "suffix" : "" } ], "container-title" : "Journal of Ethnic and Migration Studies", "id" : "ITEM-1", "issue" : "2", "issued" : { "date-parts" : [ [ "2004" ] ] }, "page" : "243-262", "title" : "Family- Related Migration: A Critical Review of European Studies", "type" : "article-journal", "volume" : "30" }, "uris" : [ "http://www.mendeley.com/documents/?uuid=e5599ad9-d1bc-45a2-88c2-cddf4cfae6cc" ] } ], "mendeley" : { "formattedCitation" : "(Kofman, 2004)", "plainTextFormattedCitation" : "(Kofman, 2004)", "previouslyFormattedCitation" : "(Kofman, 2004)" }, "properties" : { "noteIndex" : 0 }, "schema" : "https://github.com/citation-style-language/schema/raw/master/csl-citation.json" }</w:instrText>
      </w:r>
      <w:r w:rsidR="00006281">
        <w:rPr>
          <w:rFonts w:asciiTheme="majorHAnsi" w:hAnsiTheme="majorHAnsi"/>
        </w:rPr>
        <w:fldChar w:fldCharType="separate"/>
      </w:r>
      <w:r w:rsidR="009E25CB" w:rsidRPr="00C54560">
        <w:rPr>
          <w:rFonts w:asciiTheme="majorHAnsi" w:hAnsiTheme="majorHAnsi"/>
          <w:noProof/>
          <w:lang w:val="fr-FR"/>
        </w:rPr>
        <w:t>(Kofman, 2004)</w:t>
      </w:r>
      <w:r w:rsidR="00006281">
        <w:rPr>
          <w:rFonts w:asciiTheme="majorHAnsi" w:hAnsiTheme="majorHAnsi"/>
        </w:rPr>
        <w:fldChar w:fldCharType="end"/>
      </w:r>
    </w:p>
    <w:p w14:paraId="07FEFC7E" w14:textId="77777777" w:rsidR="008B6D49" w:rsidRPr="00E8481C" w:rsidRDefault="0097056E" w:rsidP="00EB6FC4">
      <w:pPr>
        <w:widowControl w:val="0"/>
        <w:autoSpaceDE w:val="0"/>
        <w:autoSpaceDN w:val="0"/>
        <w:adjustRightInd w:val="0"/>
        <w:spacing w:after="240" w:line="276" w:lineRule="auto"/>
        <w:jc w:val="both"/>
        <w:rPr>
          <w:rFonts w:asciiTheme="majorHAnsi" w:hAnsiTheme="majorHAnsi" w:cs="Times"/>
          <w:color w:val="101010"/>
          <w:lang w:val="fr-FR"/>
        </w:rPr>
      </w:pPr>
      <w:r w:rsidRPr="00E8481C">
        <w:rPr>
          <w:rFonts w:asciiTheme="majorHAnsi" w:hAnsiTheme="majorHAnsi" w:cs="Times"/>
          <w:color w:val="101010"/>
          <w:lang w:val="fr-FR"/>
        </w:rPr>
        <w:t xml:space="preserve">Claudia </w:t>
      </w:r>
      <w:proofErr w:type="spellStart"/>
      <w:r w:rsidRPr="00E8481C">
        <w:rPr>
          <w:rFonts w:asciiTheme="majorHAnsi" w:hAnsiTheme="majorHAnsi" w:cs="Times"/>
          <w:color w:val="101010"/>
          <w:lang w:val="fr-FR"/>
        </w:rPr>
        <w:t>Geist</w:t>
      </w:r>
      <w:proofErr w:type="spellEnd"/>
      <w:r w:rsidRPr="00E8481C">
        <w:rPr>
          <w:rFonts w:asciiTheme="majorHAnsi" w:hAnsiTheme="majorHAnsi" w:cs="Times"/>
          <w:color w:val="101010"/>
          <w:lang w:val="fr-FR"/>
        </w:rPr>
        <w:t xml:space="preserve"> </w:t>
      </w:r>
      <w:r w:rsidR="009E25CB" w:rsidRPr="00E8481C">
        <w:rPr>
          <w:rFonts w:asciiTheme="majorHAnsi" w:hAnsiTheme="majorHAnsi" w:cs="Times"/>
          <w:color w:val="101010"/>
          <w:lang w:val="fr-FR"/>
        </w:rPr>
        <w:t>e</w:t>
      </w:r>
      <w:r w:rsidR="00A44F64" w:rsidRPr="00E8481C">
        <w:rPr>
          <w:rFonts w:asciiTheme="majorHAnsi" w:hAnsiTheme="majorHAnsi" w:cs="Times"/>
          <w:color w:val="101010"/>
          <w:lang w:val="fr-FR"/>
        </w:rPr>
        <w:t xml:space="preserve">t </w:t>
      </w:r>
      <w:r w:rsidR="009E25CB" w:rsidRPr="00E8481C">
        <w:rPr>
          <w:rFonts w:asciiTheme="majorHAnsi" w:hAnsiTheme="majorHAnsi" w:cs="Times"/>
          <w:color w:val="101010"/>
          <w:lang w:val="fr-FR"/>
        </w:rPr>
        <w:t xml:space="preserve">Patricia </w:t>
      </w:r>
      <w:proofErr w:type="spellStart"/>
      <w:r w:rsidRPr="00E8481C">
        <w:rPr>
          <w:rFonts w:asciiTheme="majorHAnsi" w:hAnsiTheme="majorHAnsi" w:cs="Times"/>
          <w:color w:val="101010"/>
          <w:lang w:val="fr-FR"/>
        </w:rPr>
        <w:t>McManus</w:t>
      </w:r>
      <w:proofErr w:type="spellEnd"/>
      <w:r w:rsidRPr="00E8481C">
        <w:rPr>
          <w:rFonts w:asciiTheme="majorHAnsi" w:hAnsiTheme="majorHAnsi" w:cs="Times"/>
          <w:color w:val="101010"/>
          <w:lang w:val="fr-FR"/>
        </w:rPr>
        <w:t xml:space="preserve"> </w:t>
      </w:r>
      <w:r w:rsidR="00A44F64" w:rsidRPr="00E8481C">
        <w:rPr>
          <w:rFonts w:asciiTheme="majorHAnsi" w:hAnsiTheme="majorHAnsi" w:cs="Times"/>
          <w:color w:val="101010"/>
          <w:lang w:val="fr-FR"/>
        </w:rPr>
        <w:t xml:space="preserve">s’appuyant  sur  un examen </w:t>
      </w:r>
      <w:r w:rsidR="00E8481C" w:rsidRPr="00E8481C">
        <w:rPr>
          <w:rFonts w:asciiTheme="majorHAnsi" w:hAnsiTheme="majorHAnsi" w:cs="Times"/>
          <w:color w:val="101010"/>
          <w:lang w:val="fr-FR"/>
        </w:rPr>
        <w:t>de</w:t>
      </w:r>
      <w:r w:rsidR="00A44F64" w:rsidRPr="00E8481C">
        <w:rPr>
          <w:rFonts w:asciiTheme="majorHAnsi" w:hAnsiTheme="majorHAnsi" w:cs="Times"/>
          <w:color w:val="101010"/>
          <w:lang w:val="fr-FR"/>
        </w:rPr>
        <w:t xml:space="preserve"> la </w:t>
      </w:r>
      <w:r w:rsidR="00BD0C5D" w:rsidRPr="00E8481C">
        <w:rPr>
          <w:rFonts w:asciiTheme="majorHAnsi" w:hAnsiTheme="majorHAnsi" w:cs="Times"/>
          <w:color w:val="101010"/>
          <w:lang w:val="fr-FR"/>
        </w:rPr>
        <w:t>mobilité</w:t>
      </w:r>
      <w:r w:rsidR="00A44F64" w:rsidRPr="00E8481C">
        <w:rPr>
          <w:rFonts w:asciiTheme="majorHAnsi" w:hAnsiTheme="majorHAnsi" w:cs="Times"/>
          <w:color w:val="101010"/>
          <w:lang w:val="fr-FR"/>
        </w:rPr>
        <w:t xml:space="preserve"> familiale, opposent les perspectives d’a</w:t>
      </w:r>
      <w:r w:rsidR="00E8481C">
        <w:rPr>
          <w:rFonts w:asciiTheme="majorHAnsi" w:hAnsiTheme="majorHAnsi" w:cs="Times"/>
          <w:color w:val="101010"/>
          <w:lang w:val="fr-FR"/>
        </w:rPr>
        <w:t xml:space="preserve">pproche </w:t>
      </w:r>
      <w:r w:rsidR="00A44F64" w:rsidRPr="00E8481C">
        <w:rPr>
          <w:rFonts w:asciiTheme="majorHAnsi" w:hAnsiTheme="majorHAnsi" w:cs="Times"/>
          <w:color w:val="101010"/>
          <w:lang w:val="fr-FR"/>
        </w:rPr>
        <w:t xml:space="preserve">économique </w:t>
      </w:r>
      <w:r w:rsidR="00BD0C5D" w:rsidRPr="00E8481C">
        <w:rPr>
          <w:rFonts w:asciiTheme="majorHAnsi" w:hAnsiTheme="majorHAnsi" w:cs="Times"/>
          <w:color w:val="101010"/>
          <w:lang w:val="fr-FR"/>
        </w:rPr>
        <w:t>privilégian</w:t>
      </w:r>
      <w:r w:rsidR="00BD0C5D">
        <w:rPr>
          <w:rFonts w:asciiTheme="majorHAnsi" w:hAnsiTheme="majorHAnsi" w:cs="Times"/>
          <w:color w:val="101010"/>
          <w:lang w:val="fr-FR"/>
        </w:rPr>
        <w:t>t</w:t>
      </w:r>
      <w:r w:rsidR="00A44F64" w:rsidRPr="00E8481C">
        <w:rPr>
          <w:rFonts w:asciiTheme="majorHAnsi" w:hAnsiTheme="majorHAnsi" w:cs="Times"/>
          <w:color w:val="101010"/>
          <w:lang w:val="fr-FR"/>
        </w:rPr>
        <w:t xml:space="preserve"> la recherche d’emploi</w:t>
      </w:r>
      <w:r w:rsidR="00E8481C">
        <w:rPr>
          <w:rFonts w:asciiTheme="majorHAnsi" w:hAnsiTheme="majorHAnsi" w:cs="Times"/>
          <w:color w:val="101010"/>
          <w:lang w:val="fr-FR"/>
        </w:rPr>
        <w:t>,</w:t>
      </w:r>
      <w:r w:rsidR="00A44F64" w:rsidRPr="00E8481C">
        <w:rPr>
          <w:rFonts w:asciiTheme="majorHAnsi" w:hAnsiTheme="majorHAnsi" w:cs="Times"/>
          <w:color w:val="101010"/>
          <w:lang w:val="fr-FR"/>
        </w:rPr>
        <w:t xml:space="preserve"> au modèle classique considérant la mobilité r</w:t>
      </w:r>
      <w:r w:rsidR="00E8481C" w:rsidRPr="00E8481C">
        <w:rPr>
          <w:rFonts w:asciiTheme="majorHAnsi" w:hAnsiTheme="majorHAnsi" w:cs="Times"/>
          <w:color w:val="101010"/>
          <w:lang w:val="fr-FR"/>
        </w:rPr>
        <w:t>ésident</w:t>
      </w:r>
      <w:r w:rsidR="00A44F64" w:rsidRPr="00E8481C">
        <w:rPr>
          <w:rFonts w:asciiTheme="majorHAnsi" w:hAnsiTheme="majorHAnsi" w:cs="Times"/>
          <w:color w:val="101010"/>
          <w:lang w:val="fr-FR"/>
        </w:rPr>
        <w:t>ielle</w:t>
      </w:r>
      <w:r w:rsidR="00E8481C" w:rsidRPr="00E8481C">
        <w:rPr>
          <w:rFonts w:asciiTheme="majorHAnsi" w:hAnsiTheme="majorHAnsi" w:cs="Times"/>
          <w:color w:val="101010"/>
          <w:lang w:val="fr-FR"/>
        </w:rPr>
        <w:t xml:space="preserve">  comme étant une réponse aux évènements survenant au long de la vie </w:t>
      </w:r>
      <w:r w:rsidR="00006281" w:rsidRPr="008D661D">
        <w:rPr>
          <w:rFonts w:asciiTheme="majorHAnsi" w:hAnsiTheme="majorHAnsi" w:cs="Times"/>
          <w:color w:val="101010"/>
          <w:lang w:val="en-US"/>
        </w:rPr>
        <w:fldChar w:fldCharType="begin" w:fldLock="1"/>
      </w:r>
      <w:r w:rsidR="008D661D" w:rsidRPr="00E8481C">
        <w:rPr>
          <w:rFonts w:asciiTheme="majorHAnsi" w:hAnsiTheme="majorHAnsi" w:cs="Times"/>
          <w:color w:val="101010"/>
          <w:lang w:val="fr-FR"/>
        </w:rPr>
        <w:instrText>ADDIN CSL_CITATION { "citationItems" : [ { "id" : "ITEM-1", "itemData" : { "DOI" : "10.1007/s13524-011-0074-8", "author" : [ { "dropping-particle" : "", "family" : "Geist", "given" : "Claudia", "non-dropping-particle" : "", "parse-names" : false, "suffix" : "" }, { "dropping-particle" : "", "family" : "McManus", "given" : "Patricia A.", "non-dropping-particle" : "", "parse-names" : false, "suffix" : "" } ], "container-title" : "Demography", "id" : "ITEM-1", "issue" : "49", "issued" : { "date-parts" : [ [ "2012" ] ] }, "page" : "197-217", "title" : "Different Reasons, Different Results: Implications of Migration by Gender and Family Status", "type" : "article-journal" }, "suppress-author" : 1, "uris" : [ "http://www.mendeley.com/documents/?uuid=e1f3c50b-e0ff-4308-ad78-2c97d0d5a7df" ] } ], "mendeley" : { "formattedCitation" : "(2012)", "plainTextFormattedCitation" : "(2012)", "previouslyFormattedCitation" : "(2012)" }, "properties" : { "noteIndex" : 0 }, "schema" : "https://github.com/citation-style-language/schema/raw/master/csl-citation.json" }</w:instrText>
      </w:r>
      <w:r w:rsidR="00006281" w:rsidRPr="008D661D">
        <w:rPr>
          <w:rFonts w:asciiTheme="majorHAnsi" w:hAnsiTheme="majorHAnsi" w:cs="Times"/>
          <w:color w:val="101010"/>
          <w:lang w:val="en-US"/>
        </w:rPr>
        <w:fldChar w:fldCharType="separate"/>
      </w:r>
      <w:r w:rsidR="008D661D" w:rsidRPr="00E8481C">
        <w:rPr>
          <w:rFonts w:asciiTheme="majorHAnsi" w:hAnsiTheme="majorHAnsi" w:cs="Times"/>
          <w:noProof/>
          <w:color w:val="101010"/>
          <w:lang w:val="fr-FR"/>
        </w:rPr>
        <w:t>(2012)</w:t>
      </w:r>
      <w:r w:rsidR="00006281" w:rsidRPr="008D661D">
        <w:rPr>
          <w:rFonts w:asciiTheme="majorHAnsi" w:hAnsiTheme="majorHAnsi" w:cs="Times"/>
          <w:color w:val="101010"/>
          <w:lang w:val="en-US"/>
        </w:rPr>
        <w:fldChar w:fldCharType="end"/>
      </w:r>
      <w:r w:rsidR="002569B0" w:rsidRPr="00E8481C">
        <w:rPr>
          <w:rFonts w:asciiTheme="majorHAnsi" w:hAnsiTheme="majorHAnsi" w:cs="Times"/>
          <w:color w:val="101010"/>
          <w:lang w:val="fr-FR"/>
        </w:rPr>
        <w:t>.</w:t>
      </w:r>
    </w:p>
    <w:p w14:paraId="5C29102A" w14:textId="77777777" w:rsidR="00052CE8" w:rsidRPr="00F4093D" w:rsidRDefault="00E8481C" w:rsidP="00EB6FC4">
      <w:pPr>
        <w:widowControl w:val="0"/>
        <w:autoSpaceDE w:val="0"/>
        <w:autoSpaceDN w:val="0"/>
        <w:adjustRightInd w:val="0"/>
        <w:spacing w:after="240" w:line="276" w:lineRule="auto"/>
        <w:jc w:val="both"/>
        <w:rPr>
          <w:rFonts w:asciiTheme="majorHAnsi" w:hAnsiTheme="majorHAnsi" w:cs="Times"/>
          <w:color w:val="101010"/>
          <w:lang w:val="fr-FR"/>
        </w:rPr>
      </w:pPr>
      <w:r w:rsidRPr="0020739F">
        <w:rPr>
          <w:rFonts w:asciiTheme="majorHAnsi" w:hAnsiTheme="majorHAnsi" w:cs="Times"/>
          <w:color w:val="101010"/>
          <w:lang w:val="fr-FR"/>
        </w:rPr>
        <w:t>Les familles peuvent</w:t>
      </w:r>
      <w:r w:rsidR="008B6D49" w:rsidRPr="0020739F">
        <w:rPr>
          <w:rFonts w:asciiTheme="majorHAnsi" w:hAnsiTheme="majorHAnsi" w:cs="Times"/>
          <w:color w:val="101010"/>
          <w:lang w:val="fr-FR"/>
        </w:rPr>
        <w:t>,</w:t>
      </w:r>
      <w:r w:rsidR="00D02D41" w:rsidRPr="0020739F">
        <w:rPr>
          <w:rFonts w:asciiTheme="majorHAnsi" w:hAnsiTheme="majorHAnsi" w:cs="Times"/>
          <w:color w:val="101010"/>
          <w:lang w:val="fr-FR"/>
        </w:rPr>
        <w:t xml:space="preserve"> </w:t>
      </w:r>
      <w:r w:rsidRPr="0020739F">
        <w:rPr>
          <w:rFonts w:asciiTheme="majorHAnsi" w:hAnsiTheme="majorHAnsi" w:cs="Times"/>
          <w:color w:val="101010"/>
          <w:lang w:val="fr-FR"/>
        </w:rPr>
        <w:t>d’après les auteurs</w:t>
      </w:r>
      <w:r w:rsidR="00D02D41" w:rsidRPr="0020739F">
        <w:rPr>
          <w:rFonts w:asciiTheme="majorHAnsi" w:hAnsiTheme="majorHAnsi" w:cs="Times"/>
          <w:color w:val="101010"/>
          <w:lang w:val="fr-FR"/>
        </w:rPr>
        <w:t xml:space="preserve">, </w:t>
      </w:r>
      <w:r w:rsidR="0020739F">
        <w:rPr>
          <w:rFonts w:asciiTheme="majorHAnsi" w:hAnsiTheme="majorHAnsi" w:cs="Times"/>
          <w:color w:val="101010"/>
          <w:lang w:val="fr-FR"/>
        </w:rPr>
        <w:t>se</w:t>
      </w:r>
      <w:r w:rsidRPr="0020739F">
        <w:rPr>
          <w:rFonts w:asciiTheme="majorHAnsi" w:hAnsiTheme="majorHAnsi" w:cs="Times"/>
          <w:color w:val="101010"/>
          <w:lang w:val="fr-FR"/>
        </w:rPr>
        <w:t xml:space="preserve"> déplacer à la recherche </w:t>
      </w:r>
      <w:r w:rsidR="0020739F">
        <w:rPr>
          <w:rFonts w:asciiTheme="majorHAnsi" w:hAnsiTheme="majorHAnsi" w:cs="Times"/>
          <w:color w:val="101010"/>
          <w:lang w:val="fr-FR"/>
        </w:rPr>
        <w:t xml:space="preserve">d’un </w:t>
      </w:r>
      <w:r w:rsidRPr="0020739F">
        <w:rPr>
          <w:rFonts w:asciiTheme="majorHAnsi" w:hAnsiTheme="majorHAnsi" w:cs="Times"/>
          <w:color w:val="101010"/>
          <w:lang w:val="fr-FR"/>
        </w:rPr>
        <w:t xml:space="preserve">meilleur logement, </w:t>
      </w:r>
      <w:r w:rsidR="0020739F">
        <w:rPr>
          <w:rFonts w:asciiTheme="majorHAnsi" w:hAnsiTheme="majorHAnsi" w:cs="Times"/>
          <w:color w:val="101010"/>
          <w:lang w:val="fr-FR"/>
        </w:rPr>
        <w:t>d’</w:t>
      </w:r>
      <w:r w:rsidRPr="0020739F">
        <w:rPr>
          <w:rFonts w:asciiTheme="majorHAnsi" w:hAnsiTheme="majorHAnsi" w:cs="Times"/>
          <w:color w:val="101010"/>
          <w:lang w:val="fr-FR"/>
        </w:rPr>
        <w:t>écoles plus</w:t>
      </w:r>
      <w:r w:rsidR="0020739F" w:rsidRPr="0020739F">
        <w:rPr>
          <w:rFonts w:asciiTheme="majorHAnsi" w:hAnsiTheme="majorHAnsi" w:cs="Times"/>
          <w:color w:val="101010"/>
          <w:lang w:val="fr-FR"/>
        </w:rPr>
        <w:t xml:space="preserve"> sûres, </w:t>
      </w:r>
      <w:r w:rsidR="0020739F">
        <w:rPr>
          <w:rFonts w:asciiTheme="majorHAnsi" w:hAnsiTheme="majorHAnsi" w:cs="Times"/>
          <w:color w:val="101010"/>
          <w:lang w:val="fr-FR"/>
        </w:rPr>
        <w:t>pour l</w:t>
      </w:r>
      <w:r w:rsidR="0020739F" w:rsidRPr="0020739F">
        <w:rPr>
          <w:rFonts w:asciiTheme="majorHAnsi" w:hAnsiTheme="majorHAnsi" w:cs="Times"/>
          <w:color w:val="101010"/>
          <w:lang w:val="fr-FR"/>
        </w:rPr>
        <w:t>’acquisition d</w:t>
      </w:r>
      <w:r w:rsidR="0020739F">
        <w:rPr>
          <w:rFonts w:asciiTheme="majorHAnsi" w:hAnsiTheme="majorHAnsi" w:cs="Times"/>
          <w:color w:val="101010"/>
          <w:lang w:val="fr-FR"/>
        </w:rPr>
        <w:t>’un</w:t>
      </w:r>
      <w:r w:rsidR="0020739F" w:rsidRPr="0020739F">
        <w:rPr>
          <w:rFonts w:asciiTheme="majorHAnsi" w:hAnsiTheme="majorHAnsi" w:cs="Times"/>
          <w:color w:val="101010"/>
          <w:lang w:val="fr-FR"/>
        </w:rPr>
        <w:t xml:space="preserve"> logement</w:t>
      </w:r>
      <w:r w:rsidR="0020739F">
        <w:rPr>
          <w:rFonts w:asciiTheme="majorHAnsi" w:hAnsiTheme="majorHAnsi" w:cs="Times"/>
          <w:color w:val="101010"/>
          <w:lang w:val="fr-FR"/>
        </w:rPr>
        <w:t>, trouver</w:t>
      </w:r>
      <w:r w:rsidR="0020739F" w:rsidRPr="0020739F">
        <w:rPr>
          <w:rFonts w:asciiTheme="majorHAnsi" w:hAnsiTheme="majorHAnsi" w:cs="Times"/>
          <w:color w:val="101010"/>
          <w:lang w:val="fr-FR"/>
        </w:rPr>
        <w:t xml:space="preserve"> un endroit qui </w:t>
      </w:r>
      <w:r w:rsidR="0020739F">
        <w:rPr>
          <w:rFonts w:asciiTheme="majorHAnsi" w:hAnsiTheme="majorHAnsi" w:cs="Times"/>
          <w:color w:val="101010"/>
          <w:lang w:val="fr-FR"/>
        </w:rPr>
        <w:t>offre</w:t>
      </w:r>
      <w:r w:rsidR="0020739F" w:rsidRPr="0020739F">
        <w:rPr>
          <w:rFonts w:asciiTheme="majorHAnsi" w:hAnsiTheme="majorHAnsi" w:cs="Times"/>
          <w:color w:val="101010"/>
          <w:lang w:val="fr-FR"/>
        </w:rPr>
        <w:t xml:space="preserve"> au couple  des opportunit</w:t>
      </w:r>
      <w:r w:rsidR="0020739F">
        <w:rPr>
          <w:rFonts w:asciiTheme="majorHAnsi" w:hAnsiTheme="majorHAnsi" w:cs="Times"/>
          <w:color w:val="101010"/>
          <w:lang w:val="fr-FR"/>
        </w:rPr>
        <w:t>és de carrière</w:t>
      </w:r>
      <w:r w:rsidR="0020739F" w:rsidRPr="0020739F">
        <w:rPr>
          <w:rFonts w:asciiTheme="majorHAnsi" w:hAnsiTheme="majorHAnsi" w:cs="Times"/>
          <w:color w:val="101010"/>
          <w:lang w:val="fr-FR"/>
        </w:rPr>
        <w:t xml:space="preserve"> </w:t>
      </w:r>
      <w:r w:rsidR="00006281" w:rsidRPr="002569B0">
        <w:rPr>
          <w:rFonts w:asciiTheme="majorHAnsi" w:hAnsiTheme="majorHAnsi" w:cs="Times"/>
          <w:color w:val="101010"/>
        </w:rPr>
        <w:fldChar w:fldCharType="begin" w:fldLock="1"/>
      </w:r>
      <w:r w:rsidR="008D661D" w:rsidRPr="0020739F">
        <w:rPr>
          <w:rFonts w:asciiTheme="majorHAnsi" w:hAnsiTheme="majorHAnsi" w:cs="Times"/>
          <w:color w:val="101010"/>
          <w:lang w:val="fr-FR"/>
        </w:rPr>
        <w:instrText>ADDIN CSL_CITATION { "citationItems" : [ { "id" : "ITEM-1", "itemData" : { "DOI" : "10.1007/s13524-011-0074-8", "author" : [ { "dropping-particle" : "", "family" : "Geist", "given" : "Claudia", "non-dropping-particle" : "", "parse-names" : false, "suffix" : "" }, { "dropping-particle" : "", "family" : "McManus", "given" : "Patricia A.", "non-dropping-particle" : "", "parse-names" : false, "suffix" : "" } ], "container-title" : "Demography", "id" : "ITEM-1", "issue" : "49", "issued" : { "date-parts" : [ [ "2012" ] ] }, "page" : "197-217", "title" : "Different Reasons, Different Results: Implications of Migration by Gender and Family Status", "type" : "article-journal" }, "locator" : "199", "uris" : [ "http://www.mendeley.com/documents/?uuid=e1f3c50b-e0ff-4308-ad78-2c97d0d5a7df" ] } ], "mendeley" : { "formattedCitation" : "(Geist &amp; McManus, 2012, p. 199)", "plainTextFormattedCitation" : "(Geist &amp; McManus, 2012, p. 199)", "previouslyFormattedCitation" : "(Geist &amp; McManus, 2012, p. 199)" }, "properties" : { "noteIndex" : 0 }, "schema" : "https://github.com/citation-style-language/schema/raw/master/csl-citation.json" }</w:instrText>
      </w:r>
      <w:r w:rsidR="00006281" w:rsidRPr="002569B0">
        <w:rPr>
          <w:rFonts w:asciiTheme="majorHAnsi" w:hAnsiTheme="majorHAnsi" w:cs="Times"/>
          <w:color w:val="101010"/>
        </w:rPr>
        <w:fldChar w:fldCharType="separate"/>
      </w:r>
      <w:r w:rsidR="008D661D" w:rsidRPr="0020739F">
        <w:rPr>
          <w:rFonts w:asciiTheme="majorHAnsi" w:hAnsiTheme="majorHAnsi" w:cs="Times"/>
          <w:noProof/>
          <w:color w:val="101010"/>
          <w:lang w:val="fr-FR"/>
        </w:rPr>
        <w:t>(Geist &amp; McManus, 2012, p. 199)</w:t>
      </w:r>
      <w:r w:rsidR="00006281" w:rsidRPr="002569B0">
        <w:rPr>
          <w:rFonts w:asciiTheme="majorHAnsi" w:hAnsiTheme="majorHAnsi" w:cs="Times"/>
          <w:color w:val="101010"/>
        </w:rPr>
        <w:fldChar w:fldCharType="end"/>
      </w:r>
      <w:r w:rsidR="008D661D" w:rsidRPr="0020739F">
        <w:rPr>
          <w:rFonts w:asciiTheme="majorHAnsi" w:hAnsiTheme="majorHAnsi" w:cs="Times"/>
          <w:color w:val="101010"/>
          <w:lang w:val="fr-FR"/>
        </w:rPr>
        <w:t>.</w:t>
      </w:r>
      <w:r w:rsidR="007C525A" w:rsidRPr="0020739F">
        <w:rPr>
          <w:rFonts w:asciiTheme="majorHAnsi" w:hAnsiTheme="majorHAnsi" w:cs="Times"/>
          <w:color w:val="101010"/>
          <w:lang w:val="fr-FR"/>
        </w:rPr>
        <w:t xml:space="preserve"> </w:t>
      </w:r>
      <w:r w:rsidR="007C525A" w:rsidRPr="00F4093D">
        <w:rPr>
          <w:rFonts w:asciiTheme="majorHAnsi" w:hAnsiTheme="majorHAnsi" w:cs="Times"/>
          <w:color w:val="101010"/>
          <w:lang w:val="fr-FR"/>
        </w:rPr>
        <w:t>Ma</w:t>
      </w:r>
      <w:r w:rsidR="00C8561E" w:rsidRPr="00F4093D">
        <w:rPr>
          <w:rFonts w:asciiTheme="majorHAnsi" w:hAnsiTheme="majorHAnsi" w:cs="Times"/>
          <w:color w:val="101010"/>
          <w:lang w:val="fr-FR"/>
        </w:rPr>
        <w:t>i</w:t>
      </w:r>
      <w:r w:rsidR="007C525A" w:rsidRPr="00F4093D">
        <w:rPr>
          <w:rFonts w:asciiTheme="majorHAnsi" w:hAnsiTheme="majorHAnsi" w:cs="Times"/>
          <w:color w:val="101010"/>
          <w:lang w:val="fr-FR"/>
        </w:rPr>
        <w:t xml:space="preserve">s </w:t>
      </w:r>
      <w:r w:rsidR="00BD0C5D">
        <w:rPr>
          <w:rFonts w:asciiTheme="majorHAnsi" w:hAnsiTheme="majorHAnsi" w:cs="Times"/>
          <w:color w:val="101010"/>
          <w:lang w:val="fr-FR"/>
        </w:rPr>
        <w:t xml:space="preserve">en se </w:t>
      </w:r>
      <w:r w:rsidR="00AD020C">
        <w:rPr>
          <w:rFonts w:asciiTheme="majorHAnsi" w:hAnsiTheme="majorHAnsi" w:cs="Times"/>
          <w:color w:val="101010"/>
          <w:lang w:val="fr-FR"/>
        </w:rPr>
        <w:t xml:space="preserve">appuyant </w:t>
      </w:r>
      <w:r w:rsidR="00BD0C5D">
        <w:rPr>
          <w:rFonts w:asciiTheme="majorHAnsi" w:hAnsiTheme="majorHAnsi" w:cs="Times"/>
          <w:color w:val="101010"/>
          <w:lang w:val="fr-FR"/>
        </w:rPr>
        <w:t xml:space="preserve">sur </w:t>
      </w:r>
      <w:r w:rsidR="00C8561E" w:rsidRPr="00F4093D">
        <w:rPr>
          <w:rFonts w:asciiTheme="majorHAnsi" w:hAnsiTheme="majorHAnsi" w:cs="Times"/>
          <w:color w:val="101010"/>
          <w:lang w:val="fr-FR"/>
        </w:rPr>
        <w:t>l’</w:t>
      </w:r>
      <w:r w:rsidR="007C525A" w:rsidRPr="00F4093D">
        <w:rPr>
          <w:rFonts w:asciiTheme="majorHAnsi" w:hAnsiTheme="majorHAnsi" w:cs="Times"/>
          <w:color w:val="101010"/>
          <w:lang w:val="fr-FR"/>
        </w:rPr>
        <w:t>an</w:t>
      </w:r>
      <w:r w:rsidR="00BD0C5D">
        <w:rPr>
          <w:rFonts w:asciiTheme="majorHAnsi" w:hAnsiTheme="majorHAnsi" w:cs="Times"/>
          <w:color w:val="101010"/>
          <w:lang w:val="fr-FR"/>
        </w:rPr>
        <w:t>a</w:t>
      </w:r>
      <w:r w:rsidR="007C525A" w:rsidRPr="00F4093D">
        <w:rPr>
          <w:rFonts w:asciiTheme="majorHAnsi" w:hAnsiTheme="majorHAnsi" w:cs="Times"/>
          <w:color w:val="101010"/>
          <w:lang w:val="fr-FR"/>
        </w:rPr>
        <w:t>l</w:t>
      </w:r>
      <w:r w:rsidR="00C8561E" w:rsidRPr="00F4093D">
        <w:rPr>
          <w:rFonts w:asciiTheme="majorHAnsi" w:hAnsiTheme="majorHAnsi" w:cs="Times"/>
          <w:color w:val="101010"/>
          <w:lang w:val="fr-FR"/>
        </w:rPr>
        <w:t>y</w:t>
      </w:r>
      <w:r w:rsidR="007C525A" w:rsidRPr="00F4093D">
        <w:rPr>
          <w:rFonts w:asciiTheme="majorHAnsi" w:hAnsiTheme="majorHAnsi" w:cs="Times"/>
          <w:color w:val="101010"/>
          <w:lang w:val="fr-FR"/>
        </w:rPr>
        <w:t>se d</w:t>
      </w:r>
      <w:r w:rsidR="00C8561E" w:rsidRPr="00F4093D">
        <w:rPr>
          <w:rFonts w:asciiTheme="majorHAnsi" w:hAnsiTheme="majorHAnsi" w:cs="Times"/>
          <w:color w:val="101010"/>
          <w:lang w:val="fr-FR"/>
        </w:rPr>
        <w:t>e l</w:t>
      </w:r>
      <w:r w:rsidR="007C525A" w:rsidRPr="00F4093D">
        <w:rPr>
          <w:rFonts w:asciiTheme="majorHAnsi" w:hAnsiTheme="majorHAnsi" w:cs="Times"/>
          <w:color w:val="101010"/>
          <w:lang w:val="fr-FR"/>
        </w:rPr>
        <w:t>a situa</w:t>
      </w:r>
      <w:r w:rsidR="00C8561E" w:rsidRPr="00F4093D">
        <w:rPr>
          <w:rFonts w:asciiTheme="majorHAnsi" w:hAnsiTheme="majorHAnsi" w:cs="Times"/>
          <w:color w:val="101010"/>
          <w:lang w:val="fr-FR"/>
        </w:rPr>
        <w:t>tion</w:t>
      </w:r>
      <w:r w:rsidR="00D02D41" w:rsidRPr="00F4093D">
        <w:rPr>
          <w:rFonts w:asciiTheme="majorHAnsi" w:hAnsiTheme="majorHAnsi" w:cs="Times"/>
          <w:color w:val="101010"/>
          <w:lang w:val="fr-FR"/>
        </w:rPr>
        <w:t xml:space="preserve"> d</w:t>
      </w:r>
      <w:r w:rsidR="00C8561E" w:rsidRPr="00F4093D">
        <w:rPr>
          <w:rFonts w:asciiTheme="majorHAnsi" w:hAnsiTheme="majorHAnsi" w:cs="Times"/>
          <w:color w:val="101010"/>
          <w:lang w:val="fr-FR"/>
        </w:rPr>
        <w:t>es</w:t>
      </w:r>
      <w:r w:rsidR="00D02D41" w:rsidRPr="00F4093D">
        <w:rPr>
          <w:rFonts w:asciiTheme="majorHAnsi" w:hAnsiTheme="majorHAnsi" w:cs="Times"/>
          <w:color w:val="101010"/>
          <w:lang w:val="fr-FR"/>
        </w:rPr>
        <w:t xml:space="preserve"> Eta</w:t>
      </w:r>
      <w:r w:rsidR="00C8561E" w:rsidRPr="00F4093D">
        <w:rPr>
          <w:rFonts w:asciiTheme="majorHAnsi" w:hAnsiTheme="majorHAnsi" w:cs="Times"/>
          <w:color w:val="101010"/>
          <w:lang w:val="fr-FR"/>
        </w:rPr>
        <w:t>ts</w:t>
      </w:r>
      <w:r w:rsidR="00D02D41" w:rsidRPr="00F4093D">
        <w:rPr>
          <w:rFonts w:asciiTheme="majorHAnsi" w:hAnsiTheme="majorHAnsi" w:cs="Times"/>
          <w:color w:val="101010"/>
          <w:lang w:val="fr-FR"/>
        </w:rPr>
        <w:t xml:space="preserve"> Unis d</w:t>
      </w:r>
      <w:r w:rsidR="00C8561E" w:rsidRPr="00F4093D">
        <w:rPr>
          <w:rFonts w:asciiTheme="majorHAnsi" w:hAnsiTheme="majorHAnsi" w:cs="Times"/>
          <w:color w:val="101010"/>
          <w:lang w:val="fr-FR"/>
        </w:rPr>
        <w:t>’</w:t>
      </w:r>
      <w:r w:rsidR="00D02D41" w:rsidRPr="00F4093D">
        <w:rPr>
          <w:rFonts w:asciiTheme="majorHAnsi" w:hAnsiTheme="majorHAnsi" w:cs="Times"/>
          <w:color w:val="101010"/>
          <w:lang w:val="fr-FR"/>
        </w:rPr>
        <w:t xml:space="preserve"> Améri</w:t>
      </w:r>
      <w:r w:rsidR="00C8561E" w:rsidRPr="00F4093D">
        <w:rPr>
          <w:rFonts w:asciiTheme="majorHAnsi" w:hAnsiTheme="majorHAnsi" w:cs="Times"/>
          <w:color w:val="101010"/>
          <w:lang w:val="fr-FR"/>
        </w:rPr>
        <w:t>que</w:t>
      </w:r>
      <w:r w:rsidR="00D02D41" w:rsidRPr="00F4093D">
        <w:rPr>
          <w:rFonts w:asciiTheme="majorHAnsi" w:hAnsiTheme="majorHAnsi" w:cs="Times"/>
          <w:color w:val="101010"/>
          <w:lang w:val="fr-FR"/>
        </w:rPr>
        <w:t xml:space="preserve"> </w:t>
      </w:r>
      <w:r w:rsidR="007C525A" w:rsidRPr="00F4093D">
        <w:rPr>
          <w:rFonts w:asciiTheme="majorHAnsi" w:hAnsiTheme="majorHAnsi" w:cs="Times"/>
          <w:color w:val="101010"/>
          <w:lang w:val="fr-FR"/>
        </w:rPr>
        <w:t>e</w:t>
      </w:r>
      <w:r w:rsidR="00C8561E" w:rsidRPr="00F4093D">
        <w:rPr>
          <w:rFonts w:asciiTheme="majorHAnsi" w:hAnsiTheme="majorHAnsi" w:cs="Times"/>
          <w:color w:val="101010"/>
          <w:lang w:val="fr-FR"/>
        </w:rPr>
        <w:t xml:space="preserve">t </w:t>
      </w:r>
      <w:r w:rsidR="00BD0C5D">
        <w:rPr>
          <w:rFonts w:asciiTheme="majorHAnsi" w:hAnsiTheme="majorHAnsi" w:cs="Times"/>
          <w:color w:val="101010"/>
          <w:lang w:val="fr-FR"/>
        </w:rPr>
        <w:t xml:space="preserve">sur </w:t>
      </w:r>
      <w:r w:rsidR="00C8561E" w:rsidRPr="00F4093D">
        <w:rPr>
          <w:rFonts w:asciiTheme="majorHAnsi" w:hAnsiTheme="majorHAnsi" w:cs="Times"/>
          <w:color w:val="101010"/>
          <w:lang w:val="fr-FR"/>
        </w:rPr>
        <w:t>une enquête réalisée</w:t>
      </w:r>
      <w:r w:rsidR="00F4093D" w:rsidRPr="00F4093D">
        <w:rPr>
          <w:rFonts w:asciiTheme="majorHAnsi" w:hAnsiTheme="majorHAnsi" w:cs="Times"/>
          <w:color w:val="101010"/>
          <w:lang w:val="fr-FR"/>
        </w:rPr>
        <w:t>,</w:t>
      </w:r>
      <w:r w:rsidR="007C525A" w:rsidRPr="00F4093D">
        <w:rPr>
          <w:rFonts w:asciiTheme="majorHAnsi" w:hAnsiTheme="majorHAnsi" w:cs="Times"/>
          <w:color w:val="101010"/>
          <w:lang w:val="fr-FR"/>
        </w:rPr>
        <w:t xml:space="preserve"> </w:t>
      </w:r>
      <w:r w:rsidR="00F4093D" w:rsidRPr="00F4093D">
        <w:rPr>
          <w:rFonts w:asciiTheme="majorHAnsi" w:hAnsiTheme="majorHAnsi" w:cs="Times"/>
          <w:color w:val="101010"/>
          <w:lang w:val="fr-FR"/>
        </w:rPr>
        <w:t>on a démontré que les personnes  se déplacent  surtout en raison de la qualit</w:t>
      </w:r>
      <w:r w:rsidR="00AD020C">
        <w:rPr>
          <w:rFonts w:asciiTheme="majorHAnsi" w:hAnsiTheme="majorHAnsi" w:cs="Times"/>
          <w:color w:val="101010"/>
          <w:lang w:val="fr-FR"/>
        </w:rPr>
        <w:t>é de</w:t>
      </w:r>
      <w:r w:rsidR="00F4093D">
        <w:rPr>
          <w:rFonts w:asciiTheme="majorHAnsi" w:hAnsiTheme="majorHAnsi" w:cs="Times"/>
          <w:color w:val="101010"/>
          <w:lang w:val="fr-FR"/>
        </w:rPr>
        <w:t xml:space="preserve"> vie, pour des raisons familiales ou autres,  mais pas seulement pour changer d’emploi</w:t>
      </w:r>
      <w:r w:rsidR="00006281" w:rsidRPr="008D661D">
        <w:rPr>
          <w:rFonts w:asciiTheme="majorHAnsi" w:hAnsiTheme="majorHAnsi" w:cs="Times"/>
          <w:color w:val="101010"/>
          <w:lang w:val="en-US"/>
        </w:rPr>
        <w:fldChar w:fldCharType="begin" w:fldLock="1"/>
      </w:r>
      <w:r w:rsidR="00E91692" w:rsidRPr="00F4093D">
        <w:rPr>
          <w:rFonts w:asciiTheme="majorHAnsi" w:hAnsiTheme="majorHAnsi" w:cs="Times"/>
          <w:color w:val="101010"/>
          <w:lang w:val="fr-FR"/>
        </w:rPr>
        <w:instrText>ADDIN CSL_CITATION { "citationItems" : [ { "id" : "ITEM-1", "itemData" : { "DOI" : "10.1007/s13524-011-0074-8", "author" : [ { "dropping-particle" : "", "family" : "Geist", "given" : "Claudia", "non-dropping-particle" : "", "parse-names" : false, "suffix" : "" }, { "dropping-particle" : "", "family" : "McManus", "given" : "Patricia A.", "non-dropping-particle" : "", "parse-names" : false, "suffix" : "" } ], "container-title" : "Demography", "id" : "ITEM-1", "issue" : "49", "issued" : { "date-parts" : [ [ "2012" ] ] }, "page" : "197-217", "title" : "Different Reasons, Different Results: Implications of Migration by Gender and Family Status", "type" : "article-journal" }, "locator" : "214", "uris" : [ "http://www.mendeley.com/documents/?uuid=e1f3c50b-e0ff-4308-ad78-2c97d0d5a7df" ] } ], "mendeley" : { "formattedCitation" : "(Geist &amp; McManus, 2012, p. 214)", "plainTextFormattedCitation" : "(Geist &amp; McManus, 2012, p. 214)", "previouslyFormattedCitation" : "(Geist &amp; McManus, 2012, p. 214)" }, "properties" : { "noteIndex" : 0 }, "schema" : "https://github.com/citation-style-language/schema/raw/master/csl-citation.json" }</w:instrText>
      </w:r>
      <w:r w:rsidR="00006281" w:rsidRPr="008D661D">
        <w:rPr>
          <w:rFonts w:asciiTheme="majorHAnsi" w:hAnsiTheme="majorHAnsi" w:cs="Times"/>
          <w:color w:val="101010"/>
          <w:lang w:val="en-US"/>
        </w:rPr>
        <w:fldChar w:fldCharType="separate"/>
      </w:r>
      <w:r w:rsidR="008D661D" w:rsidRPr="00F4093D">
        <w:rPr>
          <w:rFonts w:asciiTheme="majorHAnsi" w:hAnsiTheme="majorHAnsi" w:cs="Times"/>
          <w:noProof/>
          <w:color w:val="101010"/>
          <w:lang w:val="fr-FR"/>
        </w:rPr>
        <w:t>(Geist &amp; McManus, 2012, p. 214)</w:t>
      </w:r>
      <w:r w:rsidR="00006281" w:rsidRPr="008D661D">
        <w:rPr>
          <w:rFonts w:asciiTheme="majorHAnsi" w:hAnsiTheme="majorHAnsi" w:cs="Times"/>
          <w:color w:val="101010"/>
          <w:lang w:val="en-US"/>
        </w:rPr>
        <w:fldChar w:fldCharType="end"/>
      </w:r>
      <w:r w:rsidR="008D661D" w:rsidRPr="00F4093D">
        <w:rPr>
          <w:rFonts w:asciiTheme="majorHAnsi" w:hAnsiTheme="majorHAnsi" w:cs="Times"/>
          <w:color w:val="101010"/>
          <w:lang w:val="fr-FR"/>
        </w:rPr>
        <w:t xml:space="preserve">. </w:t>
      </w:r>
    </w:p>
    <w:p w14:paraId="2E5E0369" w14:textId="77777777" w:rsidR="004D488E" w:rsidRPr="00A14C8F" w:rsidRDefault="00F4093D" w:rsidP="00EB6FC4">
      <w:pPr>
        <w:widowControl w:val="0"/>
        <w:autoSpaceDE w:val="0"/>
        <w:autoSpaceDN w:val="0"/>
        <w:adjustRightInd w:val="0"/>
        <w:spacing w:after="240" w:line="276" w:lineRule="auto"/>
        <w:jc w:val="both"/>
        <w:rPr>
          <w:rFonts w:asciiTheme="majorHAnsi" w:hAnsiTheme="majorHAnsi" w:cs="Times"/>
          <w:color w:val="101010"/>
          <w:lang w:val="fr-FR"/>
        </w:rPr>
      </w:pPr>
      <w:r w:rsidRPr="00A14C8F">
        <w:rPr>
          <w:rFonts w:asciiTheme="majorHAnsi" w:hAnsiTheme="majorHAnsi" w:cs="Times"/>
          <w:color w:val="101010"/>
          <w:lang w:val="fr-FR"/>
        </w:rPr>
        <w:t>L</w:t>
      </w:r>
      <w:r w:rsidR="009A5EEC">
        <w:rPr>
          <w:rFonts w:asciiTheme="majorHAnsi" w:hAnsiTheme="majorHAnsi" w:cs="Times"/>
          <w:color w:val="101010"/>
          <w:lang w:val="fr-FR"/>
        </w:rPr>
        <w:t xml:space="preserve">a </w:t>
      </w:r>
      <w:r w:rsidRPr="00A14C8F">
        <w:rPr>
          <w:rFonts w:asciiTheme="majorHAnsi" w:hAnsiTheme="majorHAnsi" w:cs="Times"/>
          <w:color w:val="101010"/>
          <w:lang w:val="fr-FR"/>
        </w:rPr>
        <w:t xml:space="preserve">migration familiale </w:t>
      </w:r>
      <w:r w:rsidR="00A14C8F" w:rsidRPr="00A14C8F">
        <w:rPr>
          <w:rFonts w:asciiTheme="majorHAnsi" w:hAnsiTheme="majorHAnsi" w:cs="Times"/>
          <w:color w:val="101010"/>
          <w:lang w:val="fr-FR"/>
        </w:rPr>
        <w:t>comporte des contours comple</w:t>
      </w:r>
      <w:r w:rsidR="009A5EEC">
        <w:rPr>
          <w:rFonts w:asciiTheme="majorHAnsi" w:hAnsiTheme="majorHAnsi" w:cs="Times"/>
          <w:color w:val="101010"/>
          <w:lang w:val="fr-FR"/>
        </w:rPr>
        <w:t>x</w:t>
      </w:r>
      <w:r w:rsidR="00A14C8F" w:rsidRPr="00A14C8F">
        <w:rPr>
          <w:rFonts w:asciiTheme="majorHAnsi" w:hAnsiTheme="majorHAnsi" w:cs="Times"/>
          <w:color w:val="101010"/>
          <w:lang w:val="fr-FR"/>
        </w:rPr>
        <w:t>es et peut chercher à répondre à</w:t>
      </w:r>
      <w:r w:rsidR="009A5EEC">
        <w:rPr>
          <w:rFonts w:asciiTheme="majorHAnsi" w:hAnsiTheme="majorHAnsi" w:cs="Times"/>
          <w:color w:val="101010"/>
          <w:lang w:val="fr-FR"/>
        </w:rPr>
        <w:t xml:space="preserve"> </w:t>
      </w:r>
      <w:r w:rsidR="00A14C8F" w:rsidRPr="00A14C8F">
        <w:rPr>
          <w:rFonts w:asciiTheme="majorHAnsi" w:hAnsiTheme="majorHAnsi" w:cs="Times"/>
          <w:color w:val="101010"/>
          <w:lang w:val="fr-FR"/>
        </w:rPr>
        <w:t>différentes dimensions de la vie ou peut comprendre divers contextes culturels ou socia</w:t>
      </w:r>
      <w:r w:rsidR="009A5EEC">
        <w:rPr>
          <w:rFonts w:asciiTheme="majorHAnsi" w:hAnsiTheme="majorHAnsi" w:cs="Times"/>
          <w:color w:val="101010"/>
          <w:lang w:val="fr-FR"/>
        </w:rPr>
        <w:t>ux</w:t>
      </w:r>
      <w:r w:rsidR="00A14C8F" w:rsidRPr="00A14C8F">
        <w:rPr>
          <w:rFonts w:asciiTheme="majorHAnsi" w:hAnsiTheme="majorHAnsi" w:cs="Times"/>
          <w:color w:val="101010"/>
          <w:lang w:val="fr-FR"/>
        </w:rPr>
        <w:t>.</w:t>
      </w:r>
      <w:r w:rsidR="00330465" w:rsidRPr="00A14C8F">
        <w:rPr>
          <w:rFonts w:asciiTheme="majorHAnsi" w:hAnsiTheme="majorHAnsi" w:cs="Times"/>
          <w:color w:val="101010"/>
          <w:lang w:val="fr-FR"/>
        </w:rPr>
        <w:t xml:space="preserve"> </w:t>
      </w:r>
    </w:p>
    <w:p w14:paraId="67B5990D" w14:textId="77777777" w:rsidR="0009114D" w:rsidRPr="00980832" w:rsidRDefault="00980832" w:rsidP="00EB6FC4">
      <w:pPr>
        <w:spacing w:after="120" w:line="276" w:lineRule="auto"/>
        <w:jc w:val="both"/>
        <w:rPr>
          <w:rFonts w:asciiTheme="majorHAnsi" w:hAnsiTheme="majorHAnsi" w:cs="Times"/>
          <w:lang w:val="fr-FR"/>
        </w:rPr>
      </w:pPr>
      <w:r w:rsidRPr="00980832">
        <w:rPr>
          <w:rFonts w:asciiTheme="majorHAnsi" w:hAnsiTheme="majorHAnsi" w:cs="Times"/>
          <w:lang w:val="fr-FR"/>
        </w:rPr>
        <w:lastRenderedPageBreak/>
        <w:t xml:space="preserve">Dans la conjoncture actuelle, où </w:t>
      </w:r>
      <w:r w:rsidR="00173D8D" w:rsidRPr="00980832">
        <w:rPr>
          <w:rFonts w:asciiTheme="majorHAnsi" w:hAnsiTheme="majorHAnsi" w:cs="Times"/>
          <w:lang w:val="fr-FR"/>
        </w:rPr>
        <w:t>les migrations</w:t>
      </w:r>
      <w:r w:rsidRPr="00980832">
        <w:rPr>
          <w:rFonts w:asciiTheme="majorHAnsi" w:hAnsiTheme="majorHAnsi" w:cs="Times"/>
          <w:lang w:val="fr-FR"/>
        </w:rPr>
        <w:t xml:space="preserve"> occupent une importance croissante</w:t>
      </w:r>
      <w:r>
        <w:rPr>
          <w:rFonts w:asciiTheme="majorHAnsi" w:hAnsiTheme="majorHAnsi" w:cs="Times"/>
          <w:lang w:val="fr-FR"/>
        </w:rPr>
        <w:t>,</w:t>
      </w:r>
      <w:r w:rsidRPr="00980832">
        <w:rPr>
          <w:rFonts w:asciiTheme="majorHAnsi" w:hAnsiTheme="majorHAnsi" w:cs="Times"/>
          <w:lang w:val="fr-FR"/>
        </w:rPr>
        <w:t xml:space="preserve"> il est important de connaître les comportements</w:t>
      </w:r>
      <w:r>
        <w:rPr>
          <w:rFonts w:asciiTheme="majorHAnsi" w:hAnsiTheme="majorHAnsi" w:cs="Times"/>
          <w:lang w:val="fr-FR"/>
        </w:rPr>
        <w:t xml:space="preserve"> sous-jacents à la prise de décision pour que les politiques publiques puissent modifier ou répondre aux attentes et aux conséquences inhérentes à cette mobilité.</w:t>
      </w:r>
      <w:r w:rsidR="0009114D" w:rsidRPr="00980832">
        <w:rPr>
          <w:rFonts w:asciiTheme="majorHAnsi" w:hAnsiTheme="majorHAnsi" w:cs="Times"/>
          <w:lang w:val="fr-FR"/>
        </w:rPr>
        <w:t xml:space="preserve"> </w:t>
      </w:r>
    </w:p>
    <w:p w14:paraId="3CBD739F" w14:textId="77777777" w:rsidR="00935861" w:rsidRPr="006D2B2B" w:rsidRDefault="00980832" w:rsidP="00EB6FC4">
      <w:pPr>
        <w:widowControl w:val="0"/>
        <w:autoSpaceDE w:val="0"/>
        <w:autoSpaceDN w:val="0"/>
        <w:adjustRightInd w:val="0"/>
        <w:spacing w:after="240" w:line="276" w:lineRule="auto"/>
        <w:jc w:val="both"/>
        <w:rPr>
          <w:rFonts w:asciiTheme="majorHAnsi" w:hAnsiTheme="majorHAnsi" w:cs="Times"/>
          <w:lang w:val="fr-FR"/>
        </w:rPr>
      </w:pPr>
      <w:r w:rsidRPr="003169E1">
        <w:rPr>
          <w:rFonts w:asciiTheme="majorHAnsi" w:hAnsiTheme="majorHAnsi" w:cs="Times"/>
          <w:lang w:val="fr-FR"/>
        </w:rPr>
        <w:t>Déjà</w:t>
      </w:r>
      <w:r w:rsidR="003169E1">
        <w:rPr>
          <w:rFonts w:asciiTheme="majorHAnsi" w:hAnsiTheme="majorHAnsi" w:cs="Times"/>
          <w:lang w:val="fr-FR"/>
        </w:rPr>
        <w:t>,</w:t>
      </w:r>
      <w:r w:rsidRPr="003169E1">
        <w:rPr>
          <w:rFonts w:asciiTheme="majorHAnsi" w:hAnsiTheme="majorHAnsi" w:cs="Times"/>
          <w:lang w:val="fr-FR"/>
        </w:rPr>
        <w:t xml:space="preserve"> en </w:t>
      </w:r>
      <w:r w:rsidR="00E91692" w:rsidRPr="003169E1">
        <w:rPr>
          <w:rFonts w:asciiTheme="majorHAnsi" w:hAnsiTheme="majorHAnsi" w:cs="Times"/>
          <w:lang w:val="fr-FR"/>
        </w:rPr>
        <w:t>2001</w:t>
      </w:r>
      <w:r w:rsidRPr="003169E1">
        <w:rPr>
          <w:rFonts w:asciiTheme="majorHAnsi" w:hAnsiTheme="majorHAnsi" w:cs="Times"/>
          <w:lang w:val="fr-FR"/>
        </w:rPr>
        <w:t xml:space="preserve"> </w:t>
      </w:r>
      <w:r w:rsidR="0009114D" w:rsidRPr="003169E1">
        <w:rPr>
          <w:rFonts w:asciiTheme="majorHAnsi" w:hAnsiTheme="majorHAnsi" w:cs="Times"/>
          <w:lang w:val="fr-FR"/>
        </w:rPr>
        <w:t>Anne Gauthie</w:t>
      </w:r>
      <w:r w:rsidR="00A03426" w:rsidRPr="003169E1">
        <w:rPr>
          <w:rFonts w:asciiTheme="majorHAnsi" w:hAnsiTheme="majorHAnsi" w:cs="Times"/>
          <w:lang w:val="fr-FR"/>
        </w:rPr>
        <w:t xml:space="preserve">r </w:t>
      </w:r>
      <w:r w:rsidR="0009114D" w:rsidRPr="003169E1">
        <w:rPr>
          <w:rFonts w:asciiTheme="majorHAnsi" w:hAnsiTheme="majorHAnsi" w:cs="Times"/>
          <w:lang w:val="fr-FR"/>
        </w:rPr>
        <w:t>s</w:t>
      </w:r>
      <w:r w:rsidRPr="003169E1">
        <w:rPr>
          <w:rFonts w:asciiTheme="majorHAnsi" w:hAnsiTheme="majorHAnsi" w:cs="Times"/>
          <w:lang w:val="fr-FR"/>
        </w:rPr>
        <w:t xml:space="preserve">oulignait l’importance des politiques publiques  par leurs effets au niveau de la famille dans la mesure </w:t>
      </w:r>
      <w:r w:rsidR="003169E1" w:rsidRPr="003169E1">
        <w:rPr>
          <w:rFonts w:asciiTheme="majorHAnsi" w:hAnsiTheme="majorHAnsi" w:cs="Times"/>
          <w:lang w:val="fr-FR"/>
        </w:rPr>
        <w:t>où elles moulent la vie des familles par la d</w:t>
      </w:r>
      <w:r w:rsidR="003169E1">
        <w:rPr>
          <w:rFonts w:asciiTheme="majorHAnsi" w:hAnsiTheme="majorHAnsi" w:cs="Times"/>
          <w:lang w:val="fr-FR"/>
        </w:rPr>
        <w:t xml:space="preserve">éfinition d’opportunités et contraintes </w:t>
      </w:r>
      <w:r w:rsidR="00006281" w:rsidRPr="00EB6FC4">
        <w:rPr>
          <w:rFonts w:asciiTheme="majorHAnsi" w:hAnsiTheme="majorHAnsi" w:cs="Times"/>
        </w:rPr>
        <w:fldChar w:fldCharType="begin" w:fldLock="1"/>
      </w:r>
      <w:r w:rsidR="00A92B74" w:rsidRPr="003169E1">
        <w:rPr>
          <w:rFonts w:asciiTheme="majorHAnsi" w:hAnsiTheme="majorHAnsi" w:cs="Times"/>
          <w:lang w:val="fr-FR"/>
        </w:rPr>
        <w:instrText>ADDIN CSL_CITATION { "citationItems" : [ { "id" : "ITEM-1", "itemData" : { "author" : [ { "dropping-particle" : "", "family" : "Gauthier", "given" : "A.", "non-dropping-particle" : "", "parse-names" : false, "suffix" : "" } ], "container-title" : "ESF/EURESCO conference \u2018The second demographic transition in Europe", "id" : "ITEM-1", "issued" : { "date-parts" : [ [ "2001" ] ] }, "title" : "The Impact Of Public Policies On Families And Demographic Behaviour", "type" : "paper-conference" }, "locator" : "1", "uris" : [ "http://www.mendeley.com/documents/?uuid=56064216-9431-4e8a-a689-8238571a3bc1" ] } ], "mendeley" : { "formattedCitation" : "(Gauthier, 2001, p. 1)", "plainTextFormattedCitation" : "(Gauthier, 2001, p. 1)", "previouslyFormattedCitation" : "(Gauthier, 2001, p. 1)" }, "properties" : { "noteIndex" : 0 }, "schema" : "https://github.com/citation-style-language/schema/raw/master/csl-citation.json" }</w:instrText>
      </w:r>
      <w:r w:rsidR="00006281" w:rsidRPr="00EB6FC4">
        <w:rPr>
          <w:rFonts w:asciiTheme="majorHAnsi" w:hAnsiTheme="majorHAnsi" w:cs="Times"/>
        </w:rPr>
        <w:fldChar w:fldCharType="separate"/>
      </w:r>
      <w:r w:rsidR="00E91692" w:rsidRPr="003169E1">
        <w:rPr>
          <w:rFonts w:asciiTheme="majorHAnsi" w:hAnsiTheme="majorHAnsi" w:cs="Times"/>
          <w:noProof/>
          <w:lang w:val="fr-FR"/>
        </w:rPr>
        <w:t>(Gauthier, 2001, p. 1)</w:t>
      </w:r>
      <w:r w:rsidR="00006281" w:rsidRPr="00EB6FC4">
        <w:rPr>
          <w:rFonts w:asciiTheme="majorHAnsi" w:hAnsiTheme="majorHAnsi" w:cs="Times"/>
        </w:rPr>
        <w:fldChar w:fldCharType="end"/>
      </w:r>
      <w:r w:rsidR="0009114D" w:rsidRPr="003169E1">
        <w:rPr>
          <w:rFonts w:asciiTheme="majorHAnsi" w:hAnsiTheme="majorHAnsi" w:cs="Times"/>
          <w:lang w:val="fr-FR"/>
        </w:rPr>
        <w:t xml:space="preserve">. </w:t>
      </w:r>
      <w:r w:rsidR="00A92B74" w:rsidRPr="003169E1">
        <w:rPr>
          <w:rFonts w:asciiTheme="majorHAnsi" w:hAnsiTheme="majorHAnsi" w:cs="Times"/>
          <w:lang w:val="fr-FR"/>
        </w:rPr>
        <w:t>Ma</w:t>
      </w:r>
      <w:r w:rsidR="003169E1" w:rsidRPr="003169E1">
        <w:rPr>
          <w:rFonts w:asciiTheme="majorHAnsi" w:hAnsiTheme="majorHAnsi" w:cs="Times"/>
          <w:lang w:val="fr-FR"/>
        </w:rPr>
        <w:t>i</w:t>
      </w:r>
      <w:r w:rsidR="00A92B74" w:rsidRPr="003169E1">
        <w:rPr>
          <w:rFonts w:asciiTheme="majorHAnsi" w:hAnsiTheme="majorHAnsi" w:cs="Times"/>
          <w:lang w:val="fr-FR"/>
        </w:rPr>
        <w:t xml:space="preserve">s </w:t>
      </w:r>
      <w:r w:rsidR="003169E1" w:rsidRPr="003169E1">
        <w:rPr>
          <w:rFonts w:asciiTheme="majorHAnsi" w:hAnsiTheme="majorHAnsi" w:cs="Times"/>
          <w:lang w:val="fr-FR"/>
        </w:rPr>
        <w:t>le</w:t>
      </w:r>
      <w:r w:rsidR="00A92B74" w:rsidRPr="003169E1">
        <w:rPr>
          <w:rFonts w:asciiTheme="majorHAnsi" w:hAnsiTheme="majorHAnsi" w:cs="Times"/>
          <w:lang w:val="fr-FR"/>
        </w:rPr>
        <w:t xml:space="preserve">s </w:t>
      </w:r>
      <w:r w:rsidR="003169E1" w:rsidRPr="003169E1">
        <w:rPr>
          <w:rFonts w:asciiTheme="majorHAnsi" w:hAnsiTheme="majorHAnsi" w:cs="Times"/>
          <w:lang w:val="fr-FR"/>
        </w:rPr>
        <w:t>politiques</w:t>
      </w:r>
      <w:r w:rsidR="00A92B74" w:rsidRPr="003169E1">
        <w:rPr>
          <w:rFonts w:asciiTheme="majorHAnsi" w:hAnsiTheme="majorHAnsi" w:cs="Times"/>
          <w:lang w:val="fr-FR"/>
        </w:rPr>
        <w:t xml:space="preserve"> </w:t>
      </w:r>
      <w:r w:rsidR="003169E1" w:rsidRPr="003169E1">
        <w:rPr>
          <w:rFonts w:asciiTheme="majorHAnsi" w:hAnsiTheme="majorHAnsi" w:cs="Times"/>
          <w:lang w:val="fr-FR"/>
        </w:rPr>
        <w:t>publiques en se dirigeant et influençant les comportements démographiques, ont également des répercussions sur le bien-</w:t>
      </w:r>
      <w:r w:rsidR="003169E1">
        <w:rPr>
          <w:rFonts w:asciiTheme="majorHAnsi" w:hAnsiTheme="majorHAnsi" w:cs="Times"/>
          <w:lang w:val="fr-FR"/>
        </w:rPr>
        <w:t>être des familles</w:t>
      </w:r>
      <w:r w:rsidR="0009114D" w:rsidRPr="003169E1">
        <w:rPr>
          <w:rFonts w:asciiTheme="majorHAnsi" w:hAnsiTheme="majorHAnsi" w:cs="Times"/>
          <w:lang w:val="fr-FR"/>
        </w:rPr>
        <w:t xml:space="preserve"> </w:t>
      </w:r>
      <w:r w:rsidR="00006281" w:rsidRPr="00EB6FC4">
        <w:rPr>
          <w:rFonts w:asciiTheme="majorHAnsi" w:hAnsiTheme="majorHAnsi" w:cs="Times"/>
        </w:rPr>
        <w:fldChar w:fldCharType="begin" w:fldLock="1"/>
      </w:r>
      <w:r w:rsidR="00935861" w:rsidRPr="003169E1">
        <w:rPr>
          <w:rFonts w:asciiTheme="majorHAnsi" w:hAnsiTheme="majorHAnsi" w:cs="Times"/>
          <w:lang w:val="fr-FR"/>
        </w:rPr>
        <w:instrText>ADDIN CSL_CITATION { "citationItems" : [ { "id" : "ITEM-1", "itemData" : { "author" : [ { "dropping-particle" : "", "family" : "Gauthier", "given" : "A.", "non-dropping-particle" : "", "parse-names" : false, "suffix" : "" } ], "container-title" : "ESF/EURESCO conference \u2018The second demographic transition in Europe", "id" : "ITEM-1", "issued" : { "date-parts" : [ [ "2001" ] ] }, "title" : "The Impact Of Public Policies On Families And Demographic Behaviour", "type" : "paper-conference" }, "locator" : "19", "uris" : [ "http://www.mendeley.com/documents/?uuid=56064216-9431-4e8a-a689-8238571a3bc1" ] } ], "mendeley" : { "formattedCitation" : "(Gauthier, 2001, p. 19)", "plainTextFormattedCitation" : "(Gauthier, 2001, p. 19)", "previouslyFormattedCitation" : "(Gauthier, 2001, p. 19)" }, "properties" : { "noteIndex" : 0 }, "schema" : "https://github.com/citation-style-language/schema/raw/master/csl-citation.json" }</w:instrText>
      </w:r>
      <w:r w:rsidR="00006281" w:rsidRPr="00EB6FC4">
        <w:rPr>
          <w:rFonts w:asciiTheme="majorHAnsi" w:hAnsiTheme="majorHAnsi" w:cs="Times"/>
        </w:rPr>
        <w:fldChar w:fldCharType="separate"/>
      </w:r>
      <w:r w:rsidR="00A92B74" w:rsidRPr="003169E1">
        <w:rPr>
          <w:rFonts w:asciiTheme="majorHAnsi" w:hAnsiTheme="majorHAnsi" w:cs="Times"/>
          <w:noProof/>
          <w:lang w:val="fr-FR"/>
        </w:rPr>
        <w:t>(Gauthier, 2001, p. 19)</w:t>
      </w:r>
      <w:r w:rsidR="00006281" w:rsidRPr="00EB6FC4">
        <w:rPr>
          <w:rFonts w:asciiTheme="majorHAnsi" w:hAnsiTheme="majorHAnsi" w:cs="Times"/>
        </w:rPr>
        <w:fldChar w:fldCharType="end"/>
      </w:r>
      <w:r w:rsidR="00A92B74" w:rsidRPr="003169E1">
        <w:rPr>
          <w:rFonts w:asciiTheme="majorHAnsi" w:hAnsiTheme="majorHAnsi" w:cs="Times"/>
          <w:lang w:val="fr-FR"/>
        </w:rPr>
        <w:t xml:space="preserve">. </w:t>
      </w:r>
      <w:r w:rsidR="00D02D41" w:rsidRPr="003169E1">
        <w:rPr>
          <w:rFonts w:asciiTheme="majorHAnsi" w:hAnsiTheme="majorHAnsi" w:cs="Times"/>
          <w:lang w:val="fr-FR"/>
        </w:rPr>
        <w:t xml:space="preserve"> </w:t>
      </w:r>
      <w:r w:rsidR="003169E1" w:rsidRPr="006D2B2B">
        <w:rPr>
          <w:rFonts w:asciiTheme="majorHAnsi" w:hAnsiTheme="majorHAnsi" w:cs="Times"/>
          <w:lang w:val="fr-FR"/>
        </w:rPr>
        <w:t>Bien</w:t>
      </w:r>
      <w:r w:rsidR="00D02D41" w:rsidRPr="006D2B2B">
        <w:rPr>
          <w:rFonts w:asciiTheme="majorHAnsi" w:hAnsiTheme="majorHAnsi" w:cs="Times"/>
          <w:lang w:val="fr-FR"/>
        </w:rPr>
        <w:t xml:space="preserve"> </w:t>
      </w:r>
      <w:r w:rsidR="00A92B74" w:rsidRPr="006D2B2B">
        <w:rPr>
          <w:rFonts w:asciiTheme="majorHAnsi" w:hAnsiTheme="majorHAnsi" w:cs="Times"/>
          <w:lang w:val="fr-FR"/>
        </w:rPr>
        <w:t>qu</w:t>
      </w:r>
      <w:r w:rsidR="003169E1" w:rsidRPr="006D2B2B">
        <w:rPr>
          <w:rFonts w:asciiTheme="majorHAnsi" w:hAnsiTheme="majorHAnsi" w:cs="Times"/>
          <w:lang w:val="fr-FR"/>
        </w:rPr>
        <w:t>’</w:t>
      </w:r>
      <w:r w:rsidR="00D02D41" w:rsidRPr="006D2B2B">
        <w:rPr>
          <w:rFonts w:asciiTheme="majorHAnsi" w:hAnsiTheme="majorHAnsi" w:cs="Times"/>
          <w:lang w:val="fr-FR"/>
        </w:rPr>
        <w:t xml:space="preserve">Anne Gauthier </w:t>
      </w:r>
      <w:proofErr w:type="gramStart"/>
      <w:r w:rsidR="003169E1" w:rsidRPr="006D2B2B">
        <w:rPr>
          <w:rFonts w:asciiTheme="majorHAnsi" w:hAnsiTheme="majorHAnsi" w:cs="Times"/>
          <w:lang w:val="fr-FR"/>
        </w:rPr>
        <w:t>s’est</w:t>
      </w:r>
      <w:proofErr w:type="gramEnd"/>
      <w:r w:rsidR="003169E1" w:rsidRPr="006D2B2B">
        <w:rPr>
          <w:rFonts w:asciiTheme="majorHAnsi" w:hAnsiTheme="majorHAnsi" w:cs="Times"/>
          <w:lang w:val="fr-FR"/>
        </w:rPr>
        <w:t xml:space="preserve"> centré sur le problème de la fécondité</w:t>
      </w:r>
      <w:r w:rsidR="00A92B74" w:rsidRPr="006D2B2B">
        <w:rPr>
          <w:rFonts w:asciiTheme="majorHAnsi" w:hAnsiTheme="majorHAnsi" w:cs="Times"/>
          <w:lang w:val="fr-FR"/>
        </w:rPr>
        <w:t>,</w:t>
      </w:r>
      <w:r w:rsidR="003169E1" w:rsidRPr="006D2B2B">
        <w:rPr>
          <w:rFonts w:asciiTheme="majorHAnsi" w:hAnsiTheme="majorHAnsi" w:cs="Times"/>
          <w:lang w:val="fr-FR"/>
        </w:rPr>
        <w:t xml:space="preserve"> pour l’</w:t>
      </w:r>
      <w:r w:rsidR="00A66191" w:rsidRPr="006D2B2B">
        <w:rPr>
          <w:rFonts w:asciiTheme="majorHAnsi" w:hAnsiTheme="majorHAnsi" w:cs="Times"/>
          <w:lang w:val="fr-FR"/>
        </w:rPr>
        <w:t>analyse</w:t>
      </w:r>
      <w:r w:rsidR="000B231A" w:rsidRPr="006D2B2B">
        <w:rPr>
          <w:rFonts w:asciiTheme="majorHAnsi" w:hAnsiTheme="majorHAnsi" w:cs="Times"/>
          <w:lang w:val="fr-FR"/>
        </w:rPr>
        <w:t xml:space="preserve"> d</w:t>
      </w:r>
      <w:r w:rsidR="003169E1" w:rsidRPr="006D2B2B">
        <w:rPr>
          <w:rFonts w:asciiTheme="majorHAnsi" w:hAnsiTheme="majorHAnsi" w:cs="Times"/>
          <w:lang w:val="fr-FR"/>
        </w:rPr>
        <w:t>e l</w:t>
      </w:r>
      <w:r w:rsidR="000B231A" w:rsidRPr="006D2B2B">
        <w:rPr>
          <w:rFonts w:asciiTheme="majorHAnsi" w:hAnsiTheme="majorHAnsi" w:cs="Times"/>
          <w:lang w:val="fr-FR"/>
        </w:rPr>
        <w:t xml:space="preserve">a </w:t>
      </w:r>
      <w:r w:rsidR="00A66191" w:rsidRPr="006D2B2B">
        <w:rPr>
          <w:rFonts w:asciiTheme="majorHAnsi" w:hAnsiTheme="majorHAnsi" w:cs="Times"/>
          <w:lang w:val="fr-FR"/>
        </w:rPr>
        <w:t>réalité</w:t>
      </w:r>
      <w:r w:rsidR="003169E1" w:rsidRPr="006D2B2B">
        <w:rPr>
          <w:rFonts w:asciiTheme="majorHAnsi" w:hAnsiTheme="majorHAnsi" w:cs="Times"/>
          <w:lang w:val="fr-FR"/>
        </w:rPr>
        <w:t xml:space="preserve"> </w:t>
      </w:r>
      <w:r w:rsidR="00D02D41" w:rsidRPr="006D2B2B">
        <w:rPr>
          <w:rFonts w:asciiTheme="majorHAnsi" w:hAnsiTheme="majorHAnsi" w:cs="Times"/>
          <w:lang w:val="fr-FR"/>
        </w:rPr>
        <w:t>portug</w:t>
      </w:r>
      <w:r w:rsidR="003169E1" w:rsidRPr="006D2B2B">
        <w:rPr>
          <w:rFonts w:asciiTheme="majorHAnsi" w:hAnsiTheme="majorHAnsi" w:cs="Times"/>
          <w:lang w:val="fr-FR"/>
        </w:rPr>
        <w:t>aise</w:t>
      </w:r>
      <w:r w:rsidR="00A92B74" w:rsidRPr="006D2B2B">
        <w:rPr>
          <w:rFonts w:asciiTheme="majorHAnsi" w:hAnsiTheme="majorHAnsi" w:cs="Times"/>
          <w:lang w:val="fr-FR"/>
        </w:rPr>
        <w:t>,</w:t>
      </w:r>
      <w:r w:rsidR="00A66191">
        <w:rPr>
          <w:rFonts w:asciiTheme="majorHAnsi" w:hAnsiTheme="majorHAnsi" w:cs="Times"/>
          <w:lang w:val="fr-FR"/>
        </w:rPr>
        <w:t xml:space="preserve"> son analyse </w:t>
      </w:r>
      <w:r w:rsidR="006D2B2B">
        <w:rPr>
          <w:rFonts w:asciiTheme="majorHAnsi" w:hAnsiTheme="majorHAnsi" w:cs="Times"/>
          <w:lang w:val="fr-FR"/>
        </w:rPr>
        <w:t>a</w:t>
      </w:r>
      <w:r w:rsidR="006D2B2B" w:rsidRPr="006D2B2B">
        <w:rPr>
          <w:rFonts w:asciiTheme="majorHAnsi" w:hAnsiTheme="majorHAnsi" w:cs="Times"/>
          <w:lang w:val="fr-FR"/>
        </w:rPr>
        <w:t xml:space="preserve"> d’autant plus</w:t>
      </w:r>
      <w:r w:rsidR="00A66191">
        <w:rPr>
          <w:rFonts w:asciiTheme="majorHAnsi" w:hAnsiTheme="majorHAnsi" w:cs="Times"/>
          <w:lang w:val="fr-FR"/>
        </w:rPr>
        <w:t xml:space="preserve"> de sens si on</w:t>
      </w:r>
      <w:r w:rsidR="006D2B2B">
        <w:rPr>
          <w:rFonts w:asciiTheme="majorHAnsi" w:hAnsiTheme="majorHAnsi" w:cs="Times"/>
          <w:lang w:val="fr-FR"/>
        </w:rPr>
        <w:t xml:space="preserve"> considère le contexte de très faible fécondité dans lequel nous nous trouvons</w:t>
      </w:r>
      <w:r w:rsidR="00A92B74" w:rsidRPr="006D2B2B">
        <w:rPr>
          <w:rFonts w:asciiTheme="majorHAnsi" w:hAnsiTheme="majorHAnsi" w:cs="Times"/>
          <w:lang w:val="fr-FR"/>
        </w:rPr>
        <w:t xml:space="preserve">. </w:t>
      </w:r>
      <w:r w:rsidR="004C7966" w:rsidRPr="006D2B2B">
        <w:rPr>
          <w:rFonts w:asciiTheme="majorHAnsi" w:hAnsiTheme="majorHAnsi" w:cs="Times"/>
          <w:lang w:val="fr-FR"/>
        </w:rPr>
        <w:t>C</w:t>
      </w:r>
      <w:r w:rsidR="00A92B74" w:rsidRPr="006D2B2B">
        <w:rPr>
          <w:rFonts w:asciiTheme="majorHAnsi" w:hAnsiTheme="majorHAnsi" w:cs="Times"/>
          <w:lang w:val="fr-FR"/>
        </w:rPr>
        <w:t>ontext</w:t>
      </w:r>
      <w:r w:rsidR="006D2B2B" w:rsidRPr="006D2B2B">
        <w:rPr>
          <w:rFonts w:asciiTheme="majorHAnsi" w:hAnsiTheme="majorHAnsi" w:cs="Times"/>
          <w:lang w:val="fr-FR"/>
        </w:rPr>
        <w:t>e</w:t>
      </w:r>
      <w:r w:rsidR="00A92B74" w:rsidRPr="006D2B2B">
        <w:rPr>
          <w:rFonts w:asciiTheme="majorHAnsi" w:hAnsiTheme="majorHAnsi" w:cs="Times"/>
          <w:lang w:val="fr-FR"/>
        </w:rPr>
        <w:t xml:space="preserve"> </w:t>
      </w:r>
      <w:r w:rsidR="00AD020C">
        <w:rPr>
          <w:rFonts w:asciiTheme="majorHAnsi" w:hAnsiTheme="majorHAnsi" w:cs="Times"/>
          <w:lang w:val="fr-FR"/>
        </w:rPr>
        <w:t>que on peut</w:t>
      </w:r>
      <w:r w:rsidR="006D2B2B" w:rsidRPr="006D2B2B">
        <w:rPr>
          <w:rFonts w:asciiTheme="majorHAnsi" w:hAnsiTheme="majorHAnsi" w:cs="Times"/>
          <w:lang w:val="fr-FR"/>
        </w:rPr>
        <w:t xml:space="preserve"> lier à la</w:t>
      </w:r>
      <w:r w:rsidR="00A66191">
        <w:rPr>
          <w:rFonts w:asciiTheme="majorHAnsi" w:hAnsiTheme="majorHAnsi" w:cs="Times"/>
          <w:lang w:val="fr-FR"/>
        </w:rPr>
        <w:t xml:space="preserve"> mobilité/</w:t>
      </w:r>
      <w:r w:rsidR="006D2B2B" w:rsidRPr="006D2B2B">
        <w:rPr>
          <w:rFonts w:asciiTheme="majorHAnsi" w:hAnsiTheme="majorHAnsi" w:cs="Times"/>
          <w:lang w:val="fr-FR"/>
        </w:rPr>
        <w:t>aux migrations internes et aux déséquilibres r</w:t>
      </w:r>
      <w:r w:rsidR="006D2B2B">
        <w:rPr>
          <w:rFonts w:asciiTheme="majorHAnsi" w:hAnsiTheme="majorHAnsi" w:cs="Times"/>
          <w:lang w:val="fr-FR"/>
        </w:rPr>
        <w:t>égionaux.</w:t>
      </w:r>
      <w:r w:rsidR="00A03426" w:rsidRPr="006D2B2B">
        <w:rPr>
          <w:rFonts w:asciiTheme="majorHAnsi" w:hAnsiTheme="majorHAnsi" w:cs="Times"/>
          <w:lang w:val="fr-FR"/>
        </w:rPr>
        <w:t xml:space="preserve">  </w:t>
      </w:r>
    </w:p>
    <w:p w14:paraId="4B0963D1" w14:textId="77777777" w:rsidR="0009114D" w:rsidRPr="001222DF" w:rsidRDefault="00337858" w:rsidP="00EB6FC4">
      <w:pPr>
        <w:widowControl w:val="0"/>
        <w:autoSpaceDE w:val="0"/>
        <w:autoSpaceDN w:val="0"/>
        <w:adjustRightInd w:val="0"/>
        <w:spacing w:after="240" w:line="276" w:lineRule="auto"/>
        <w:jc w:val="both"/>
        <w:rPr>
          <w:rFonts w:asciiTheme="majorHAnsi" w:hAnsiTheme="majorHAnsi" w:cs="Times"/>
          <w:lang w:val="fr-FR"/>
        </w:rPr>
      </w:pPr>
      <w:r>
        <w:rPr>
          <w:rFonts w:asciiTheme="majorHAnsi" w:hAnsiTheme="majorHAnsi" w:cs="Times"/>
          <w:lang w:val="fr-FR"/>
        </w:rPr>
        <w:t>Quelques</w:t>
      </w:r>
      <w:r w:rsidR="00A66191">
        <w:rPr>
          <w:rFonts w:asciiTheme="majorHAnsi" w:hAnsiTheme="majorHAnsi" w:cs="Times"/>
          <w:lang w:val="fr-FR"/>
        </w:rPr>
        <w:t xml:space="preserve"> </w:t>
      </w:r>
      <w:r w:rsidR="006D2B2B" w:rsidRPr="001222DF">
        <w:rPr>
          <w:rFonts w:asciiTheme="majorHAnsi" w:hAnsiTheme="majorHAnsi" w:cs="Times"/>
          <w:lang w:val="fr-FR"/>
        </w:rPr>
        <w:t xml:space="preserve">études confirment les impacts territoriaux et le </w:t>
      </w:r>
      <w:r w:rsidR="001222DF" w:rsidRPr="001222DF">
        <w:rPr>
          <w:rFonts w:asciiTheme="majorHAnsi" w:hAnsiTheme="majorHAnsi" w:cs="Times"/>
          <w:lang w:val="fr-FR"/>
        </w:rPr>
        <w:t xml:space="preserve">déséquilibre que la mobilité </w:t>
      </w:r>
      <w:r w:rsidR="001222DF">
        <w:rPr>
          <w:rFonts w:asciiTheme="majorHAnsi" w:hAnsiTheme="majorHAnsi" w:cs="Times"/>
          <w:lang w:val="fr-FR"/>
        </w:rPr>
        <w:t>occasionne</w:t>
      </w:r>
      <w:r w:rsidR="00A66191">
        <w:rPr>
          <w:rFonts w:asciiTheme="majorHAnsi" w:hAnsiTheme="majorHAnsi" w:cs="Times"/>
          <w:lang w:val="fr-FR"/>
        </w:rPr>
        <w:t xml:space="preserve"> </w:t>
      </w:r>
      <w:r w:rsidR="001222DF" w:rsidRPr="00EB6FC4">
        <w:rPr>
          <w:rFonts w:asciiTheme="majorHAnsi" w:hAnsiTheme="majorHAnsi" w:cs="Times"/>
        </w:rPr>
        <w:fldChar w:fldCharType="begin" w:fldLock="1"/>
      </w:r>
      <w:r w:rsidR="001222DF" w:rsidRPr="001222DF">
        <w:rPr>
          <w:rFonts w:asciiTheme="majorHAnsi" w:hAnsiTheme="majorHAnsi" w:cs="Times"/>
          <w:lang w:val="fr-FR"/>
        </w:rPr>
        <w:instrText>ADDIN CSL_CITATION { "citationItems" : [ { "id" : "ITEM-1", "itemData" : { "DOI" : "10.1080/10611991.2015.1022934", "author" : [ { "dropping-particle" : "", "family" : "Topilion", "given" : "A.", "non-dropping-particle" : "", "parse-names" : false, "suffix" : "" } ], "container-title" : "Problems of Economic Transition", "id" : "ITEM-1", "issue" : "7", "issued" : { "date-parts" : [ [ "2014" ] ] }, "page" : "47-62", "title" : "Migration and the Spatial Economic Development of the Country", "type" : "article-journal", "volume" : "57" }, "uris" : [ "http://www.mendeley.com/documents/?uuid=58053049-1e6c-4830-9236-9c858ddb57e2" ] } ], "mendeley" : { "formattedCitation" : "(Topilion, 2014)", "plainTextFormattedCitation" : "(Topilion, 2014)", "previouslyFormattedCitation" : "(Topilion, 2014)" }, "properties" : { "noteIndex" : 0 }, "schema" : "https://github.com/citation-style-language/schema/raw/master/csl-citation.json" }</w:instrText>
      </w:r>
      <w:r w:rsidR="001222DF" w:rsidRPr="00EB6FC4">
        <w:rPr>
          <w:rFonts w:asciiTheme="majorHAnsi" w:hAnsiTheme="majorHAnsi" w:cs="Times"/>
        </w:rPr>
        <w:fldChar w:fldCharType="separate"/>
      </w:r>
      <w:r w:rsidR="001222DF" w:rsidRPr="001222DF">
        <w:rPr>
          <w:rFonts w:asciiTheme="majorHAnsi" w:hAnsiTheme="majorHAnsi" w:cs="Times"/>
          <w:noProof/>
          <w:lang w:val="fr-FR"/>
        </w:rPr>
        <w:t>(Topilion, 2014)</w:t>
      </w:r>
      <w:r w:rsidR="001222DF" w:rsidRPr="00EB6FC4">
        <w:rPr>
          <w:rFonts w:asciiTheme="majorHAnsi" w:hAnsiTheme="majorHAnsi" w:cs="Times"/>
        </w:rPr>
        <w:fldChar w:fldCharType="end"/>
      </w:r>
      <w:r w:rsidR="001222DF" w:rsidRPr="001222DF">
        <w:rPr>
          <w:rFonts w:asciiTheme="majorHAnsi" w:hAnsiTheme="majorHAnsi" w:cs="Times"/>
          <w:lang w:val="fr-FR"/>
        </w:rPr>
        <w:t xml:space="preserve">, </w:t>
      </w:r>
      <w:r w:rsidR="001222DF">
        <w:rPr>
          <w:rFonts w:asciiTheme="majorHAnsi" w:hAnsiTheme="majorHAnsi" w:cs="Times"/>
          <w:lang w:val="fr-FR"/>
        </w:rPr>
        <w:t>en plus de</w:t>
      </w:r>
      <w:r w:rsidR="001222DF" w:rsidRPr="001222DF">
        <w:rPr>
          <w:rFonts w:asciiTheme="majorHAnsi" w:hAnsiTheme="majorHAnsi" w:cs="Times"/>
          <w:lang w:val="fr-FR"/>
        </w:rPr>
        <w:t xml:space="preserve"> l’impact social, économique et démographiques </w:t>
      </w:r>
      <w:r w:rsidR="001222DF">
        <w:rPr>
          <w:rFonts w:asciiTheme="majorHAnsi" w:hAnsiTheme="majorHAnsi" w:cs="Times"/>
          <w:lang w:val="fr-FR"/>
        </w:rPr>
        <w:t>provoqués</w:t>
      </w:r>
      <w:r w:rsidR="000B231A" w:rsidRPr="001222DF">
        <w:rPr>
          <w:rFonts w:asciiTheme="majorHAnsi" w:hAnsiTheme="majorHAnsi" w:cs="Times"/>
          <w:lang w:val="fr-FR"/>
        </w:rPr>
        <w:t xml:space="preserve"> </w:t>
      </w:r>
      <w:r w:rsidR="00006281" w:rsidRPr="00EB6FC4">
        <w:rPr>
          <w:rFonts w:asciiTheme="majorHAnsi" w:hAnsiTheme="majorHAnsi" w:cs="Times"/>
        </w:rPr>
        <w:fldChar w:fldCharType="begin" w:fldLock="1"/>
      </w:r>
      <w:r w:rsidR="00935861" w:rsidRPr="001222DF">
        <w:rPr>
          <w:rFonts w:asciiTheme="majorHAnsi" w:hAnsiTheme="majorHAnsi" w:cs="Times"/>
          <w:lang w:val="fr-FR"/>
        </w:rPr>
        <w:instrText>ADDIN CSL_CITATION { "citationItems" : [ { "id" : "ITEM-1", "itemData" : { "DOI" : "10.1080/09654313.2013.771620", "author" : [ { "dropping-particle" : "", "family" : "Yazgi", "given" : "Burcin", "non-dropping-particle" : "", "parse-names" : false, "suffix" : "" }, { "dropping-particle" : "", "family" : "Dokmeci", "given" : "Vedia", "non-dropping-particle" : "", "parse-names" : false, "suffix" : "" }, { "dropping-particle" : "", "family" : "Koramaz", "given" : "Kerem", "non-dropping-particle" : "", "parse-names" : false, "suffix" : "" }, { "dropping-particle" : "", "family" : "Kiroglu", "given" : "Gulay", "non-dropping-particle" : "", "parse-names" : false, "suffix" : "" } ], "container-title" : "European Planning Studies,", "id" : "ITEM-1", "issue" : "6", "issued" : { "date-parts" : [ [ "2014" ] ] }, "page" : "1182-1198", "title" : "Impact of Characteristics of Origin and Destination Provinces on Migration: 1995 \u2013 2000", "type" : "article-journal", "volume" : "22" }, "uris" : [ "http://www.mendeley.com/documents/?uuid=eee5397d-1d36-4a19-9e66-65fb178e0361" ] } ], "mendeley" : { "formattedCitation" : "(Yazgi, Dokmeci, Koramaz, &amp; Kiroglu, 2014)", "plainTextFormattedCitation" : "(Yazgi, Dokmeci, Koramaz, &amp; Kiroglu, 2014)", "previouslyFormattedCitation" : "(Yazgi, Dokmeci, Koramaz, &amp; Kiroglu, 2014)" }, "properties" : { "noteIndex" : 0 }, "schema" : "https://github.com/citation-style-language/schema/raw/master/csl-citation.json" }</w:instrText>
      </w:r>
      <w:r w:rsidR="00006281" w:rsidRPr="00EB6FC4">
        <w:rPr>
          <w:rFonts w:asciiTheme="majorHAnsi" w:hAnsiTheme="majorHAnsi" w:cs="Times"/>
        </w:rPr>
        <w:fldChar w:fldCharType="separate"/>
      </w:r>
      <w:r w:rsidR="00935861" w:rsidRPr="001222DF">
        <w:rPr>
          <w:rFonts w:asciiTheme="majorHAnsi" w:hAnsiTheme="majorHAnsi" w:cs="Times"/>
          <w:noProof/>
          <w:lang w:val="fr-FR"/>
        </w:rPr>
        <w:t>(Yazgi, Dokmeci, Koramaz, &amp; Kiroglu, 2014)</w:t>
      </w:r>
      <w:r w:rsidR="00006281" w:rsidRPr="00EB6FC4">
        <w:rPr>
          <w:rFonts w:asciiTheme="majorHAnsi" w:hAnsiTheme="majorHAnsi" w:cs="Times"/>
        </w:rPr>
        <w:fldChar w:fldCharType="end"/>
      </w:r>
      <w:r w:rsidR="00A12D64" w:rsidRPr="001222DF">
        <w:rPr>
          <w:rFonts w:asciiTheme="majorHAnsi" w:hAnsiTheme="majorHAnsi" w:cs="Times"/>
          <w:lang w:val="fr-FR"/>
        </w:rPr>
        <w:t xml:space="preserve">. </w:t>
      </w:r>
    </w:p>
    <w:p w14:paraId="42472696" w14:textId="77777777" w:rsidR="00CF021F" w:rsidRDefault="0045272F" w:rsidP="007310A7">
      <w:pPr>
        <w:widowControl w:val="0"/>
        <w:autoSpaceDE w:val="0"/>
        <w:autoSpaceDN w:val="0"/>
        <w:adjustRightInd w:val="0"/>
        <w:spacing w:after="240" w:line="276" w:lineRule="auto"/>
        <w:jc w:val="both"/>
        <w:rPr>
          <w:rFonts w:asciiTheme="majorHAnsi" w:hAnsiTheme="majorHAnsi" w:cs="Times"/>
          <w:lang w:val="fr-FR"/>
        </w:rPr>
      </w:pPr>
      <w:r w:rsidRPr="00893F83">
        <w:rPr>
          <w:rFonts w:asciiTheme="majorHAnsi" w:hAnsiTheme="majorHAnsi" w:cs="Times"/>
          <w:lang w:val="fr-FR"/>
        </w:rPr>
        <w:t>A</w:t>
      </w:r>
      <w:r w:rsidR="009A5EEC" w:rsidRPr="00893F83">
        <w:rPr>
          <w:rFonts w:asciiTheme="majorHAnsi" w:hAnsiTheme="majorHAnsi" w:cs="Times"/>
          <w:lang w:val="fr-FR"/>
        </w:rPr>
        <w:t>insi, la perception de cette complexité exige une connaissance approfondie des migrations (flux)</w:t>
      </w:r>
      <w:r w:rsidR="001222DF">
        <w:rPr>
          <w:rFonts w:asciiTheme="majorHAnsi" w:hAnsiTheme="majorHAnsi" w:cs="Times"/>
          <w:lang w:val="fr-FR"/>
        </w:rPr>
        <w:t xml:space="preserve"> </w:t>
      </w:r>
      <w:r w:rsidR="009A5EEC" w:rsidRPr="00893F83">
        <w:rPr>
          <w:rFonts w:asciiTheme="majorHAnsi" w:hAnsiTheme="majorHAnsi" w:cs="Times"/>
          <w:lang w:val="fr-FR"/>
        </w:rPr>
        <w:t xml:space="preserve">et des migrants afin qu’il y ait une </w:t>
      </w:r>
      <w:r w:rsidR="00893F83" w:rsidRPr="00893F83">
        <w:rPr>
          <w:rFonts w:asciiTheme="majorHAnsi" w:hAnsiTheme="majorHAnsi" w:cs="Times"/>
          <w:lang w:val="fr-FR"/>
        </w:rPr>
        <w:t>intervention compatible.</w:t>
      </w:r>
      <w:r w:rsidR="00893F83">
        <w:rPr>
          <w:rFonts w:asciiTheme="majorHAnsi" w:hAnsiTheme="majorHAnsi" w:cs="Times"/>
          <w:lang w:val="fr-FR"/>
        </w:rPr>
        <w:t xml:space="preserve"> </w:t>
      </w:r>
      <w:r w:rsidR="00893F83" w:rsidRPr="00893F83">
        <w:rPr>
          <w:rFonts w:asciiTheme="majorHAnsi" w:hAnsiTheme="majorHAnsi" w:cs="Times"/>
          <w:lang w:val="fr-FR"/>
        </w:rPr>
        <w:t xml:space="preserve">Il est également important </w:t>
      </w:r>
      <w:r w:rsidR="00AD020C">
        <w:rPr>
          <w:rFonts w:asciiTheme="majorHAnsi" w:hAnsiTheme="majorHAnsi" w:cs="Times"/>
          <w:lang w:val="fr-FR"/>
        </w:rPr>
        <w:t xml:space="preserve">qu’on se souvienne </w:t>
      </w:r>
      <w:r w:rsidR="00893F83" w:rsidRPr="00893F83">
        <w:rPr>
          <w:rFonts w:asciiTheme="majorHAnsi" w:hAnsiTheme="majorHAnsi" w:cs="Times"/>
          <w:lang w:val="fr-FR"/>
        </w:rPr>
        <w:t>qu</w:t>
      </w:r>
      <w:r w:rsidR="001222DF">
        <w:rPr>
          <w:rFonts w:asciiTheme="majorHAnsi" w:hAnsiTheme="majorHAnsi" w:cs="Times"/>
          <w:lang w:val="fr-FR"/>
        </w:rPr>
        <w:t>e les migrations/les migrants (</w:t>
      </w:r>
      <w:r w:rsidR="001222DF" w:rsidRPr="00893F83">
        <w:rPr>
          <w:rFonts w:asciiTheme="majorHAnsi" w:hAnsiTheme="majorHAnsi" w:cs="Times"/>
          <w:lang w:val="fr-FR"/>
        </w:rPr>
        <w:t>considér</w:t>
      </w:r>
      <w:r w:rsidR="001222DF">
        <w:rPr>
          <w:rFonts w:asciiTheme="majorHAnsi" w:hAnsiTheme="majorHAnsi" w:cs="Times"/>
          <w:lang w:val="fr-FR"/>
        </w:rPr>
        <w:t>é</w:t>
      </w:r>
      <w:r w:rsidR="001222DF" w:rsidRPr="00893F83">
        <w:rPr>
          <w:rFonts w:asciiTheme="majorHAnsi" w:hAnsiTheme="majorHAnsi" w:cs="Times"/>
          <w:lang w:val="fr-FR"/>
        </w:rPr>
        <w:t>s</w:t>
      </w:r>
      <w:r w:rsidR="00893F83" w:rsidRPr="00893F83">
        <w:rPr>
          <w:rFonts w:asciiTheme="majorHAnsi" w:hAnsiTheme="majorHAnsi" w:cs="Times"/>
          <w:lang w:val="fr-FR"/>
        </w:rPr>
        <w:t xml:space="preserve"> individuellement) ou les familles qui migrent </w:t>
      </w:r>
      <w:r w:rsidR="00893F83">
        <w:rPr>
          <w:rFonts w:asciiTheme="majorHAnsi" w:hAnsiTheme="majorHAnsi" w:cs="Times"/>
          <w:lang w:val="fr-FR"/>
        </w:rPr>
        <w:t>sont des réalités dynamiques.</w:t>
      </w:r>
    </w:p>
    <w:p w14:paraId="0DDA126A" w14:textId="77777777" w:rsidR="00AD31DB" w:rsidRPr="00893F83" w:rsidRDefault="00AD31DB" w:rsidP="007310A7">
      <w:pPr>
        <w:widowControl w:val="0"/>
        <w:autoSpaceDE w:val="0"/>
        <w:autoSpaceDN w:val="0"/>
        <w:adjustRightInd w:val="0"/>
        <w:spacing w:after="240" w:line="276" w:lineRule="auto"/>
        <w:jc w:val="both"/>
        <w:rPr>
          <w:rFonts w:asciiTheme="majorHAnsi" w:hAnsiTheme="majorHAnsi" w:cs="Times"/>
          <w:lang w:val="fr-FR"/>
        </w:rPr>
      </w:pPr>
    </w:p>
    <w:p w14:paraId="347A03C5" w14:textId="6F244255" w:rsidR="009C25F1" w:rsidRPr="00AD31DB" w:rsidRDefault="00B0250A" w:rsidP="00AD31DB">
      <w:pPr>
        <w:pStyle w:val="ListParagraph"/>
        <w:numPr>
          <w:ilvl w:val="0"/>
          <w:numId w:val="1"/>
        </w:numPr>
        <w:rPr>
          <w:rFonts w:asciiTheme="majorHAnsi" w:hAnsiTheme="majorHAnsi"/>
          <w:lang w:val="fr-FR"/>
        </w:rPr>
      </w:pPr>
      <w:r w:rsidRPr="00AD31DB">
        <w:rPr>
          <w:rFonts w:asciiTheme="majorHAnsi" w:hAnsiTheme="majorHAnsi"/>
          <w:lang w:val="fr-FR"/>
        </w:rPr>
        <w:t>Évolution de la famille au</w:t>
      </w:r>
      <w:r w:rsidR="00CF021F" w:rsidRPr="00AD31DB">
        <w:rPr>
          <w:rFonts w:asciiTheme="majorHAnsi" w:hAnsiTheme="majorHAnsi"/>
          <w:lang w:val="fr-FR"/>
        </w:rPr>
        <w:t xml:space="preserve"> Portugal.</w:t>
      </w:r>
    </w:p>
    <w:p w14:paraId="1FCBF936" w14:textId="0CA89AC7" w:rsidR="00AD31DB" w:rsidRPr="00AD31DB" w:rsidRDefault="00AD31DB" w:rsidP="00AD31DB">
      <w:pPr>
        <w:tabs>
          <w:tab w:val="left" w:pos="7450"/>
        </w:tabs>
        <w:ind w:left="357"/>
        <w:rPr>
          <w:rFonts w:asciiTheme="majorHAnsi" w:hAnsiTheme="majorHAnsi"/>
          <w:lang w:val="fr-FR"/>
        </w:rPr>
      </w:pPr>
      <w:r>
        <w:rPr>
          <w:rFonts w:asciiTheme="majorHAnsi" w:hAnsiTheme="majorHAnsi"/>
          <w:lang w:val="fr-FR"/>
        </w:rPr>
        <w:tab/>
      </w:r>
    </w:p>
    <w:p w14:paraId="47EF7488" w14:textId="77777777" w:rsidR="00EB6FC4" w:rsidRPr="00EA39A7" w:rsidRDefault="00EA39A7" w:rsidP="004C5A34">
      <w:pPr>
        <w:jc w:val="both"/>
        <w:rPr>
          <w:rFonts w:asciiTheme="majorHAnsi" w:hAnsiTheme="majorHAnsi"/>
          <w:lang w:val="fr-FR"/>
        </w:rPr>
      </w:pPr>
      <w:r w:rsidRPr="00EA39A7">
        <w:rPr>
          <w:rFonts w:asciiTheme="majorHAnsi" w:hAnsiTheme="majorHAnsi"/>
          <w:lang w:val="fr-FR"/>
        </w:rPr>
        <w:t xml:space="preserve">L’évolution des familles au </w:t>
      </w:r>
      <w:r w:rsidR="00EB6FC4" w:rsidRPr="00EA39A7">
        <w:rPr>
          <w:rFonts w:asciiTheme="majorHAnsi" w:hAnsiTheme="majorHAnsi"/>
          <w:lang w:val="fr-FR"/>
        </w:rPr>
        <w:t>Portugal</w:t>
      </w:r>
      <w:r w:rsidRPr="00EA39A7">
        <w:rPr>
          <w:rFonts w:asciiTheme="majorHAnsi" w:hAnsiTheme="majorHAnsi"/>
          <w:lang w:val="fr-FR"/>
        </w:rPr>
        <w:t xml:space="preserve"> se</w:t>
      </w:r>
      <w:r w:rsidR="002C09B6" w:rsidRPr="00EA39A7">
        <w:rPr>
          <w:rFonts w:asciiTheme="majorHAnsi" w:hAnsiTheme="majorHAnsi"/>
          <w:lang w:val="fr-FR"/>
        </w:rPr>
        <w:t xml:space="preserve"> </w:t>
      </w:r>
      <w:r w:rsidR="00624931" w:rsidRPr="00EA39A7">
        <w:rPr>
          <w:rFonts w:asciiTheme="majorHAnsi" w:hAnsiTheme="majorHAnsi"/>
          <w:lang w:val="fr-FR"/>
        </w:rPr>
        <w:t>caractérise</w:t>
      </w:r>
      <w:r w:rsidR="002C09B6" w:rsidRPr="00EA39A7">
        <w:rPr>
          <w:rFonts w:asciiTheme="majorHAnsi" w:hAnsiTheme="majorHAnsi"/>
          <w:lang w:val="fr-FR"/>
        </w:rPr>
        <w:t xml:space="preserve"> p</w:t>
      </w:r>
      <w:r w:rsidRPr="00EA39A7">
        <w:rPr>
          <w:rFonts w:asciiTheme="majorHAnsi" w:hAnsiTheme="majorHAnsi"/>
          <w:lang w:val="fr-FR"/>
        </w:rPr>
        <w:t>a</w:t>
      </w:r>
      <w:r w:rsidR="002C09B6" w:rsidRPr="00EA39A7">
        <w:rPr>
          <w:rFonts w:asciiTheme="majorHAnsi" w:hAnsiTheme="majorHAnsi"/>
          <w:lang w:val="fr-FR"/>
        </w:rPr>
        <w:t xml:space="preserve">r </w:t>
      </w:r>
      <w:r w:rsidRPr="00EA39A7">
        <w:rPr>
          <w:rFonts w:asciiTheme="majorHAnsi" w:hAnsiTheme="majorHAnsi"/>
          <w:lang w:val="fr-FR"/>
        </w:rPr>
        <w:t>une</w:t>
      </w:r>
      <w:r w:rsidR="002C09B6" w:rsidRPr="00EA39A7">
        <w:rPr>
          <w:rFonts w:asciiTheme="majorHAnsi" w:hAnsiTheme="majorHAnsi"/>
          <w:lang w:val="fr-FR"/>
        </w:rPr>
        <w:t xml:space="preserve"> au</w:t>
      </w:r>
      <w:r w:rsidRPr="00EA39A7">
        <w:rPr>
          <w:rFonts w:asciiTheme="majorHAnsi" w:hAnsiTheme="majorHAnsi"/>
          <w:lang w:val="fr-FR"/>
        </w:rPr>
        <w:t>g</w:t>
      </w:r>
      <w:r w:rsidR="002C09B6" w:rsidRPr="00EA39A7">
        <w:rPr>
          <w:rFonts w:asciiTheme="majorHAnsi" w:hAnsiTheme="majorHAnsi"/>
          <w:lang w:val="fr-FR"/>
        </w:rPr>
        <w:t>ment</w:t>
      </w:r>
      <w:r w:rsidRPr="00EA39A7">
        <w:rPr>
          <w:rFonts w:asciiTheme="majorHAnsi" w:hAnsiTheme="majorHAnsi"/>
          <w:lang w:val="fr-FR"/>
        </w:rPr>
        <w:t>ation</w:t>
      </w:r>
      <w:r w:rsidR="002C09B6" w:rsidRPr="00EA39A7">
        <w:rPr>
          <w:rFonts w:asciiTheme="majorHAnsi" w:hAnsiTheme="majorHAnsi"/>
          <w:lang w:val="fr-FR"/>
        </w:rPr>
        <w:t xml:space="preserve"> d</w:t>
      </w:r>
      <w:r w:rsidRPr="00EA39A7">
        <w:rPr>
          <w:rFonts w:asciiTheme="majorHAnsi" w:hAnsiTheme="majorHAnsi"/>
          <w:lang w:val="fr-FR"/>
        </w:rPr>
        <w:t>u</w:t>
      </w:r>
      <w:r w:rsidR="002C09B6" w:rsidRPr="00EA39A7">
        <w:rPr>
          <w:rFonts w:asciiTheme="majorHAnsi" w:hAnsiTheme="majorHAnsi"/>
          <w:lang w:val="fr-FR"/>
        </w:rPr>
        <w:t xml:space="preserve"> n</w:t>
      </w:r>
      <w:r w:rsidRPr="00EA39A7">
        <w:rPr>
          <w:rFonts w:asciiTheme="majorHAnsi" w:hAnsiTheme="majorHAnsi"/>
          <w:lang w:val="fr-FR"/>
        </w:rPr>
        <w:t>ombre</w:t>
      </w:r>
      <w:r w:rsidR="002C09B6" w:rsidRPr="00EA39A7">
        <w:rPr>
          <w:rFonts w:asciiTheme="majorHAnsi" w:hAnsiTheme="majorHAnsi"/>
          <w:lang w:val="fr-FR"/>
        </w:rPr>
        <w:t xml:space="preserve"> de fam</w:t>
      </w:r>
      <w:r>
        <w:rPr>
          <w:rFonts w:asciiTheme="majorHAnsi" w:hAnsiTheme="majorHAnsi"/>
          <w:lang w:val="fr-FR"/>
        </w:rPr>
        <w:t>illes malgré une</w:t>
      </w:r>
      <w:r w:rsidR="002C09B6" w:rsidRPr="00EA39A7">
        <w:rPr>
          <w:rFonts w:asciiTheme="majorHAnsi" w:hAnsiTheme="majorHAnsi"/>
          <w:lang w:val="fr-FR"/>
        </w:rPr>
        <w:t xml:space="preserve"> diminu</w:t>
      </w:r>
      <w:r>
        <w:rPr>
          <w:rFonts w:asciiTheme="majorHAnsi" w:hAnsiTheme="majorHAnsi"/>
          <w:lang w:val="fr-FR"/>
        </w:rPr>
        <w:t>tion</w:t>
      </w:r>
      <w:r w:rsidR="002C09B6" w:rsidRPr="00EA39A7">
        <w:rPr>
          <w:rFonts w:asciiTheme="majorHAnsi" w:hAnsiTheme="majorHAnsi"/>
          <w:lang w:val="fr-FR"/>
        </w:rPr>
        <w:t xml:space="preserve"> </w:t>
      </w:r>
      <w:r w:rsidR="007C44D7">
        <w:rPr>
          <w:rFonts w:asciiTheme="majorHAnsi" w:hAnsiTheme="majorHAnsi"/>
          <w:lang w:val="fr-FR"/>
        </w:rPr>
        <w:t>de leur</w:t>
      </w:r>
      <w:r w:rsidR="009A652C">
        <w:rPr>
          <w:rFonts w:asciiTheme="majorHAnsi" w:hAnsiTheme="majorHAnsi"/>
          <w:lang w:val="fr-FR"/>
        </w:rPr>
        <w:t xml:space="preserve"> taille </w:t>
      </w:r>
      <w:r w:rsidR="002C09B6" w:rsidRPr="00EA39A7">
        <w:rPr>
          <w:rFonts w:asciiTheme="majorHAnsi" w:hAnsiTheme="majorHAnsi"/>
          <w:lang w:val="fr-FR"/>
        </w:rPr>
        <w:t>m</w:t>
      </w:r>
      <w:r w:rsidR="007C44D7">
        <w:rPr>
          <w:rFonts w:asciiTheme="majorHAnsi" w:hAnsiTheme="majorHAnsi"/>
          <w:lang w:val="fr-FR"/>
        </w:rPr>
        <w:t>oyenne</w:t>
      </w:r>
      <w:r w:rsidR="002C09B6" w:rsidRPr="00EA39A7">
        <w:rPr>
          <w:rFonts w:asciiTheme="majorHAnsi" w:hAnsiTheme="majorHAnsi"/>
          <w:lang w:val="fr-FR"/>
        </w:rPr>
        <w:t xml:space="preserve">. </w:t>
      </w:r>
    </w:p>
    <w:p w14:paraId="485668B0" w14:textId="77777777" w:rsidR="00CF021F" w:rsidRPr="00EA39A7" w:rsidRDefault="00CF021F" w:rsidP="004C5A34">
      <w:pPr>
        <w:jc w:val="both"/>
        <w:rPr>
          <w:rFonts w:asciiTheme="majorHAnsi" w:hAnsiTheme="majorHAnsi"/>
          <w:lang w:val="fr-FR"/>
        </w:rPr>
      </w:pPr>
    </w:p>
    <w:p w14:paraId="35FAF544" w14:textId="77777777" w:rsidR="00CF021F" w:rsidRPr="00CC4C2D" w:rsidRDefault="007310A7" w:rsidP="00CC4C2D">
      <w:pPr>
        <w:pStyle w:val="Caption"/>
        <w:rPr>
          <w:rFonts w:asciiTheme="majorHAnsi" w:hAnsiTheme="majorHAnsi"/>
          <w:b w:val="0"/>
          <w:color w:val="auto"/>
          <w:lang w:val="fr-FR"/>
        </w:rPr>
      </w:pPr>
      <w:r w:rsidRPr="00CC4C2D">
        <w:rPr>
          <w:b w:val="0"/>
          <w:color w:val="auto"/>
          <w:lang w:val="fr-FR"/>
        </w:rPr>
        <w:t xml:space="preserve">Graphique nº </w:t>
      </w:r>
      <w:r w:rsidR="00006281" w:rsidRPr="00CC4C2D">
        <w:rPr>
          <w:b w:val="0"/>
          <w:color w:val="auto"/>
        </w:rPr>
        <w:fldChar w:fldCharType="begin"/>
      </w:r>
      <w:r w:rsidR="00907FE2" w:rsidRPr="00CC4C2D">
        <w:rPr>
          <w:b w:val="0"/>
          <w:color w:val="auto"/>
          <w:lang w:val="fr-FR"/>
        </w:rPr>
        <w:instrText xml:space="preserve"> SEQ Graphique_nº \* ARABIC </w:instrText>
      </w:r>
      <w:r w:rsidR="00006281" w:rsidRPr="00CC4C2D">
        <w:rPr>
          <w:b w:val="0"/>
          <w:color w:val="auto"/>
        </w:rPr>
        <w:fldChar w:fldCharType="separate"/>
      </w:r>
      <w:r w:rsidR="00CC4C2D">
        <w:rPr>
          <w:b w:val="0"/>
          <w:noProof/>
          <w:color w:val="auto"/>
          <w:lang w:val="fr-FR"/>
        </w:rPr>
        <w:t>1</w:t>
      </w:r>
      <w:r w:rsidR="00006281" w:rsidRPr="00CC4C2D">
        <w:rPr>
          <w:b w:val="0"/>
          <w:noProof/>
          <w:color w:val="auto"/>
        </w:rPr>
        <w:fldChar w:fldCharType="end"/>
      </w:r>
      <w:r w:rsidR="001222DF" w:rsidRPr="00CC4C2D">
        <w:rPr>
          <w:b w:val="0"/>
          <w:noProof/>
          <w:color w:val="auto"/>
          <w:lang w:val="fr-FR"/>
        </w:rPr>
        <w:t xml:space="preserve"> </w:t>
      </w:r>
      <w:r w:rsidR="00CF021F" w:rsidRPr="00CC4C2D">
        <w:rPr>
          <w:rFonts w:asciiTheme="majorHAnsi" w:hAnsiTheme="majorHAnsi"/>
          <w:b w:val="0"/>
          <w:color w:val="auto"/>
          <w:lang w:val="fr-FR"/>
        </w:rPr>
        <w:t>Evolu</w:t>
      </w:r>
      <w:r w:rsidR="00EA39A7" w:rsidRPr="00CC4C2D">
        <w:rPr>
          <w:rFonts w:asciiTheme="majorHAnsi" w:hAnsiTheme="majorHAnsi"/>
          <w:b w:val="0"/>
          <w:color w:val="auto"/>
          <w:lang w:val="fr-FR"/>
        </w:rPr>
        <w:t>tion des Familles</w:t>
      </w:r>
      <w:r w:rsidR="00CF021F" w:rsidRPr="00CC4C2D">
        <w:rPr>
          <w:rFonts w:asciiTheme="majorHAnsi" w:hAnsiTheme="majorHAnsi"/>
          <w:b w:val="0"/>
          <w:color w:val="auto"/>
          <w:lang w:val="fr-FR"/>
        </w:rPr>
        <w:t xml:space="preserve"> cl</w:t>
      </w:r>
      <w:r w:rsidR="00EA39A7" w:rsidRPr="00CC4C2D">
        <w:rPr>
          <w:rFonts w:asciiTheme="majorHAnsi" w:hAnsiTheme="majorHAnsi"/>
          <w:b w:val="0"/>
          <w:color w:val="auto"/>
          <w:lang w:val="fr-FR"/>
        </w:rPr>
        <w:t>assiques</w:t>
      </w:r>
      <w:r w:rsidR="00CF021F" w:rsidRPr="00CC4C2D">
        <w:rPr>
          <w:rFonts w:asciiTheme="majorHAnsi" w:hAnsiTheme="majorHAnsi"/>
          <w:b w:val="0"/>
          <w:color w:val="auto"/>
          <w:lang w:val="fr-FR"/>
        </w:rPr>
        <w:t xml:space="preserve"> (nº) e</w:t>
      </w:r>
      <w:r w:rsidR="00EA39A7" w:rsidRPr="00CC4C2D">
        <w:rPr>
          <w:rFonts w:asciiTheme="majorHAnsi" w:hAnsiTheme="majorHAnsi"/>
          <w:b w:val="0"/>
          <w:color w:val="auto"/>
          <w:lang w:val="fr-FR"/>
        </w:rPr>
        <w:t>t</w:t>
      </w:r>
      <w:r w:rsidR="00CF021F" w:rsidRPr="00CC4C2D">
        <w:rPr>
          <w:rFonts w:asciiTheme="majorHAnsi" w:hAnsiTheme="majorHAnsi"/>
          <w:b w:val="0"/>
          <w:color w:val="auto"/>
          <w:lang w:val="fr-FR"/>
        </w:rPr>
        <w:t xml:space="preserve"> </w:t>
      </w:r>
      <w:r w:rsidR="00893F83" w:rsidRPr="00CC4C2D">
        <w:rPr>
          <w:rFonts w:asciiTheme="majorHAnsi" w:hAnsiTheme="majorHAnsi"/>
          <w:b w:val="0"/>
          <w:color w:val="auto"/>
          <w:lang w:val="fr-FR"/>
        </w:rPr>
        <w:t>taille</w:t>
      </w:r>
      <w:r w:rsidR="001222DF" w:rsidRPr="00CC4C2D">
        <w:rPr>
          <w:rFonts w:asciiTheme="majorHAnsi" w:hAnsiTheme="majorHAnsi"/>
          <w:b w:val="0"/>
          <w:color w:val="auto"/>
          <w:lang w:val="fr-FR"/>
        </w:rPr>
        <w:t xml:space="preserve"> </w:t>
      </w:r>
      <w:r w:rsidR="00CF021F" w:rsidRPr="00CC4C2D">
        <w:rPr>
          <w:rFonts w:asciiTheme="majorHAnsi" w:hAnsiTheme="majorHAnsi"/>
          <w:b w:val="0"/>
          <w:color w:val="auto"/>
          <w:lang w:val="fr-FR"/>
        </w:rPr>
        <w:t>m</w:t>
      </w:r>
      <w:r w:rsidR="00EA39A7" w:rsidRPr="00CC4C2D">
        <w:rPr>
          <w:rFonts w:asciiTheme="majorHAnsi" w:hAnsiTheme="majorHAnsi"/>
          <w:b w:val="0"/>
          <w:color w:val="auto"/>
          <w:lang w:val="fr-FR"/>
        </w:rPr>
        <w:t>oyenne</w:t>
      </w:r>
      <w:r w:rsidR="00CF021F" w:rsidRPr="00CC4C2D">
        <w:rPr>
          <w:rFonts w:asciiTheme="majorHAnsi" w:hAnsiTheme="majorHAnsi"/>
          <w:b w:val="0"/>
          <w:color w:val="auto"/>
          <w:lang w:val="fr-FR"/>
        </w:rPr>
        <w:t xml:space="preserve"> d</w:t>
      </w:r>
      <w:r w:rsidR="00EA39A7" w:rsidRPr="00CC4C2D">
        <w:rPr>
          <w:rFonts w:asciiTheme="majorHAnsi" w:hAnsiTheme="majorHAnsi"/>
          <w:b w:val="0"/>
          <w:color w:val="auto"/>
          <w:lang w:val="fr-FR"/>
        </w:rPr>
        <w:t xml:space="preserve">es familles </w:t>
      </w:r>
      <w:r w:rsidR="009C25F1" w:rsidRPr="00CC4C2D">
        <w:rPr>
          <w:rFonts w:asciiTheme="majorHAnsi" w:hAnsiTheme="majorHAnsi"/>
          <w:b w:val="0"/>
          <w:color w:val="auto"/>
          <w:lang w:val="fr-FR"/>
        </w:rPr>
        <w:t xml:space="preserve"> 1960-2011</w:t>
      </w:r>
    </w:p>
    <w:p w14:paraId="779FF68F" w14:textId="77777777" w:rsidR="003973BB" w:rsidRDefault="003973BB" w:rsidP="004C5A34">
      <w:pPr>
        <w:jc w:val="both"/>
        <w:rPr>
          <w:rFonts w:asciiTheme="majorHAnsi" w:hAnsiTheme="majorHAnsi"/>
          <w:noProof/>
          <w:lang w:val="en-US"/>
        </w:rPr>
      </w:pPr>
      <w:r>
        <w:rPr>
          <w:noProof/>
          <w:lang w:val="en-US" w:eastAsia="en-US"/>
        </w:rPr>
        <w:drawing>
          <wp:inline distT="0" distB="0" distL="0" distR="0" wp14:anchorId="785C1AC7" wp14:editId="007C3510">
            <wp:extent cx="4686300" cy="1835150"/>
            <wp:effectExtent l="0" t="0" r="1270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1B46AC7" w14:textId="12F3EA04" w:rsidR="009C25F1" w:rsidRPr="00AD31DB" w:rsidRDefault="00F1060E" w:rsidP="004C5A34">
      <w:pPr>
        <w:jc w:val="both"/>
        <w:rPr>
          <w:rFonts w:asciiTheme="majorHAnsi" w:hAnsiTheme="majorHAnsi"/>
          <w:sz w:val="20"/>
          <w:szCs w:val="20"/>
          <w:lang w:val="fr-FR"/>
        </w:rPr>
      </w:pPr>
      <w:r w:rsidRPr="00CC4C2D">
        <w:rPr>
          <w:rFonts w:asciiTheme="majorHAnsi" w:hAnsiTheme="majorHAnsi"/>
          <w:sz w:val="20"/>
          <w:szCs w:val="20"/>
          <w:lang w:val="fr-FR"/>
        </w:rPr>
        <w:t xml:space="preserve">Source: INE Recensements de la Population </w:t>
      </w:r>
    </w:p>
    <w:p w14:paraId="21711449" w14:textId="77777777" w:rsidR="006E1BC6" w:rsidRDefault="00AB25D8" w:rsidP="004C5A34">
      <w:pPr>
        <w:jc w:val="both"/>
        <w:rPr>
          <w:rFonts w:asciiTheme="majorHAnsi" w:hAnsiTheme="majorHAnsi"/>
          <w:lang w:val="fr-FR"/>
        </w:rPr>
      </w:pPr>
      <w:r w:rsidRPr="008D0703">
        <w:rPr>
          <w:rFonts w:asciiTheme="majorHAnsi" w:hAnsiTheme="majorHAnsi"/>
          <w:lang w:val="fr-FR"/>
        </w:rPr>
        <w:lastRenderedPageBreak/>
        <w:t>Quant à</w:t>
      </w:r>
      <w:r w:rsidR="008D0703" w:rsidRPr="008D0703">
        <w:rPr>
          <w:rFonts w:asciiTheme="majorHAnsi" w:hAnsiTheme="majorHAnsi"/>
          <w:lang w:val="fr-FR"/>
        </w:rPr>
        <w:t xml:space="preserve"> la</w:t>
      </w:r>
      <w:r w:rsidRPr="008D0703">
        <w:rPr>
          <w:rFonts w:asciiTheme="majorHAnsi" w:hAnsiTheme="majorHAnsi"/>
          <w:lang w:val="fr-FR"/>
        </w:rPr>
        <w:t xml:space="preserve"> composi</w:t>
      </w:r>
      <w:r w:rsidR="008D0703" w:rsidRPr="008D0703">
        <w:rPr>
          <w:rFonts w:asciiTheme="majorHAnsi" w:hAnsiTheme="majorHAnsi"/>
          <w:lang w:val="fr-FR"/>
        </w:rPr>
        <w:t>tion</w:t>
      </w:r>
      <w:r w:rsidRPr="008D0703">
        <w:rPr>
          <w:rFonts w:asciiTheme="majorHAnsi" w:hAnsiTheme="majorHAnsi"/>
          <w:lang w:val="fr-FR"/>
        </w:rPr>
        <w:t xml:space="preserve"> </w:t>
      </w:r>
      <w:r w:rsidR="008D0703" w:rsidRPr="008D0703">
        <w:rPr>
          <w:rFonts w:asciiTheme="majorHAnsi" w:hAnsiTheme="majorHAnsi"/>
          <w:lang w:val="fr-FR"/>
        </w:rPr>
        <w:t>de</w:t>
      </w:r>
      <w:r w:rsidR="007310A7" w:rsidRPr="008D0703">
        <w:rPr>
          <w:rFonts w:asciiTheme="majorHAnsi" w:hAnsiTheme="majorHAnsi"/>
          <w:lang w:val="fr-FR"/>
        </w:rPr>
        <w:t>s fam</w:t>
      </w:r>
      <w:r w:rsidR="008D0703" w:rsidRPr="008D0703">
        <w:rPr>
          <w:rFonts w:asciiTheme="majorHAnsi" w:hAnsiTheme="majorHAnsi"/>
          <w:lang w:val="fr-FR"/>
        </w:rPr>
        <w:t>illes</w:t>
      </w:r>
      <w:r w:rsidR="007310A7" w:rsidRPr="008D0703">
        <w:rPr>
          <w:rFonts w:asciiTheme="majorHAnsi" w:hAnsiTheme="majorHAnsi"/>
          <w:lang w:val="fr-FR"/>
        </w:rPr>
        <w:t>, a</w:t>
      </w:r>
      <w:r w:rsidR="008D0703" w:rsidRPr="008D0703">
        <w:rPr>
          <w:rFonts w:asciiTheme="majorHAnsi" w:hAnsiTheme="majorHAnsi"/>
          <w:lang w:val="fr-FR"/>
        </w:rPr>
        <w:t>u fil du temps</w:t>
      </w:r>
      <w:r w:rsidR="007310A7" w:rsidRPr="008D0703">
        <w:rPr>
          <w:rFonts w:asciiTheme="majorHAnsi" w:hAnsiTheme="majorHAnsi"/>
          <w:lang w:val="fr-FR"/>
        </w:rPr>
        <w:t xml:space="preserve">, </w:t>
      </w:r>
      <w:r w:rsidR="008D0703" w:rsidRPr="008D0703">
        <w:rPr>
          <w:rFonts w:asciiTheme="majorHAnsi" w:hAnsiTheme="majorHAnsi"/>
          <w:lang w:val="fr-FR"/>
        </w:rPr>
        <w:t>on constate une augmentation des ménages composés d’un individu</w:t>
      </w:r>
      <w:r w:rsidR="008D0703">
        <w:rPr>
          <w:rFonts w:asciiTheme="majorHAnsi" w:hAnsiTheme="majorHAnsi"/>
          <w:lang w:val="fr-FR"/>
        </w:rPr>
        <w:t xml:space="preserve"> ainsi que l’augmentation de couples sans enfants.</w:t>
      </w:r>
      <w:r w:rsidR="00B750A9" w:rsidRPr="008D0703">
        <w:rPr>
          <w:rFonts w:asciiTheme="majorHAnsi" w:hAnsiTheme="majorHAnsi"/>
          <w:lang w:val="fr-FR"/>
        </w:rPr>
        <w:t xml:space="preserve"> </w:t>
      </w:r>
      <w:r w:rsidR="008D0703">
        <w:rPr>
          <w:rFonts w:asciiTheme="majorHAnsi" w:hAnsiTheme="majorHAnsi"/>
          <w:lang w:val="fr-FR"/>
        </w:rPr>
        <w:t xml:space="preserve"> </w:t>
      </w:r>
      <w:r w:rsidR="008D0703" w:rsidRPr="00624931">
        <w:rPr>
          <w:rFonts w:asciiTheme="majorHAnsi" w:hAnsiTheme="majorHAnsi"/>
          <w:lang w:val="fr-FR"/>
        </w:rPr>
        <w:t>Progressive</w:t>
      </w:r>
      <w:r w:rsidR="00A42441" w:rsidRPr="00624931">
        <w:rPr>
          <w:rFonts w:asciiTheme="majorHAnsi" w:hAnsiTheme="majorHAnsi"/>
          <w:lang w:val="fr-FR"/>
        </w:rPr>
        <w:t xml:space="preserve">ment </w:t>
      </w:r>
      <w:r w:rsidR="00624931" w:rsidRPr="00624931">
        <w:rPr>
          <w:rFonts w:asciiTheme="majorHAnsi" w:hAnsiTheme="majorHAnsi"/>
          <w:lang w:val="fr-FR"/>
        </w:rPr>
        <w:t>le nombre de cou</w:t>
      </w:r>
      <w:r w:rsidR="008D0703" w:rsidRPr="00624931">
        <w:rPr>
          <w:rFonts w:asciiTheme="majorHAnsi" w:hAnsiTheme="majorHAnsi"/>
          <w:lang w:val="fr-FR"/>
        </w:rPr>
        <w:t xml:space="preserve">ples </w:t>
      </w:r>
      <w:r w:rsidR="00F1060E">
        <w:rPr>
          <w:rFonts w:asciiTheme="majorHAnsi" w:hAnsiTheme="majorHAnsi"/>
          <w:lang w:val="fr-FR"/>
        </w:rPr>
        <w:t>ayant</w:t>
      </w:r>
      <w:r w:rsidR="008D0703" w:rsidRPr="00624931">
        <w:rPr>
          <w:rFonts w:asciiTheme="majorHAnsi" w:hAnsiTheme="majorHAnsi"/>
          <w:lang w:val="fr-FR"/>
        </w:rPr>
        <w:t xml:space="preserve"> des enfants </w:t>
      </w:r>
      <w:r w:rsidR="000C7649">
        <w:rPr>
          <w:rFonts w:asciiTheme="majorHAnsi" w:hAnsiTheme="majorHAnsi"/>
          <w:lang w:val="fr-FR"/>
        </w:rPr>
        <w:t>tend à</w:t>
      </w:r>
      <w:r w:rsidR="008D0703" w:rsidRPr="00624931">
        <w:rPr>
          <w:rFonts w:asciiTheme="majorHAnsi" w:hAnsiTheme="majorHAnsi"/>
          <w:lang w:val="fr-FR"/>
        </w:rPr>
        <w:t xml:space="preserve"> diminu</w:t>
      </w:r>
      <w:r w:rsidR="00624931">
        <w:rPr>
          <w:rFonts w:asciiTheme="majorHAnsi" w:hAnsiTheme="majorHAnsi"/>
          <w:lang w:val="fr-FR"/>
        </w:rPr>
        <w:t>e</w:t>
      </w:r>
      <w:r w:rsidR="008D0703" w:rsidRPr="00624931">
        <w:rPr>
          <w:rFonts w:asciiTheme="majorHAnsi" w:hAnsiTheme="majorHAnsi"/>
          <w:lang w:val="fr-FR"/>
        </w:rPr>
        <w:t>r</w:t>
      </w:r>
      <w:r w:rsidR="009C25F1" w:rsidRPr="00624931">
        <w:rPr>
          <w:rFonts w:asciiTheme="majorHAnsi" w:hAnsiTheme="majorHAnsi"/>
          <w:lang w:val="fr-FR"/>
        </w:rPr>
        <w:t xml:space="preserve">. </w:t>
      </w:r>
    </w:p>
    <w:p w14:paraId="0A23ECA5" w14:textId="77777777" w:rsidR="006E1BC6" w:rsidRPr="00624931" w:rsidRDefault="006E1BC6" w:rsidP="004C5A34">
      <w:pPr>
        <w:jc w:val="both"/>
        <w:rPr>
          <w:rFonts w:asciiTheme="majorHAnsi" w:hAnsiTheme="majorHAnsi"/>
          <w:lang w:val="fr-FR"/>
        </w:rPr>
      </w:pPr>
    </w:p>
    <w:p w14:paraId="1F3A2B4B" w14:textId="77777777" w:rsidR="006E1BC6" w:rsidRPr="00CC4C2D" w:rsidRDefault="007310A7" w:rsidP="00CA4544">
      <w:pPr>
        <w:pStyle w:val="Caption"/>
        <w:rPr>
          <w:rFonts w:asciiTheme="majorHAnsi" w:hAnsiTheme="majorHAnsi"/>
          <w:b w:val="0"/>
          <w:color w:val="auto"/>
          <w:lang w:val="fr-FR"/>
        </w:rPr>
      </w:pPr>
      <w:r w:rsidRPr="00CC4C2D">
        <w:rPr>
          <w:b w:val="0"/>
          <w:color w:val="auto"/>
          <w:lang w:val="fr-FR"/>
        </w:rPr>
        <w:t xml:space="preserve">Graphique nº </w:t>
      </w:r>
      <w:r w:rsidR="00006281" w:rsidRPr="00CC4C2D">
        <w:rPr>
          <w:b w:val="0"/>
          <w:color w:val="auto"/>
        </w:rPr>
        <w:fldChar w:fldCharType="begin"/>
      </w:r>
      <w:r w:rsidR="00907FE2" w:rsidRPr="00CC4C2D">
        <w:rPr>
          <w:b w:val="0"/>
          <w:color w:val="auto"/>
          <w:lang w:val="fr-FR"/>
        </w:rPr>
        <w:instrText xml:space="preserve"> SEQ Graphique_nº \* ARABIC </w:instrText>
      </w:r>
      <w:r w:rsidR="00006281" w:rsidRPr="00CC4C2D">
        <w:rPr>
          <w:b w:val="0"/>
          <w:color w:val="auto"/>
        </w:rPr>
        <w:fldChar w:fldCharType="separate"/>
      </w:r>
      <w:r w:rsidR="00CC4C2D">
        <w:rPr>
          <w:b w:val="0"/>
          <w:noProof/>
          <w:color w:val="auto"/>
          <w:lang w:val="fr-FR"/>
        </w:rPr>
        <w:t>2</w:t>
      </w:r>
      <w:r w:rsidR="00006281" w:rsidRPr="00CC4C2D">
        <w:rPr>
          <w:b w:val="0"/>
          <w:noProof/>
          <w:color w:val="auto"/>
        </w:rPr>
        <w:fldChar w:fldCharType="end"/>
      </w:r>
      <w:r w:rsidR="00624931" w:rsidRPr="00CC4C2D">
        <w:rPr>
          <w:b w:val="0"/>
          <w:noProof/>
          <w:color w:val="auto"/>
          <w:lang w:val="fr-FR"/>
        </w:rPr>
        <w:t xml:space="preserve"> </w:t>
      </w:r>
      <w:r w:rsidR="006E1BC6" w:rsidRPr="00CC4C2D">
        <w:rPr>
          <w:rFonts w:asciiTheme="majorHAnsi" w:hAnsiTheme="majorHAnsi"/>
          <w:b w:val="0"/>
          <w:color w:val="auto"/>
          <w:lang w:val="fr-FR"/>
        </w:rPr>
        <w:t xml:space="preserve">Ménages </w:t>
      </w:r>
      <w:r w:rsidR="00624931" w:rsidRPr="00CC4C2D">
        <w:rPr>
          <w:rFonts w:asciiTheme="majorHAnsi" w:hAnsiTheme="majorHAnsi"/>
          <w:b w:val="0"/>
          <w:color w:val="auto"/>
          <w:lang w:val="fr-FR"/>
        </w:rPr>
        <w:t>pa</w:t>
      </w:r>
      <w:r w:rsidR="00E56925" w:rsidRPr="00CC4C2D">
        <w:rPr>
          <w:rFonts w:asciiTheme="majorHAnsi" w:hAnsiTheme="majorHAnsi"/>
          <w:b w:val="0"/>
          <w:color w:val="auto"/>
          <w:lang w:val="fr-FR"/>
        </w:rPr>
        <w:t>r t</w:t>
      </w:r>
      <w:r w:rsidR="00624931" w:rsidRPr="00CC4C2D">
        <w:rPr>
          <w:rFonts w:asciiTheme="majorHAnsi" w:hAnsiTheme="majorHAnsi"/>
          <w:b w:val="0"/>
          <w:color w:val="auto"/>
          <w:lang w:val="fr-FR"/>
        </w:rPr>
        <w:t xml:space="preserve">ype </w:t>
      </w:r>
      <w:r w:rsidR="00E56925" w:rsidRPr="00CC4C2D">
        <w:rPr>
          <w:rFonts w:asciiTheme="majorHAnsi" w:hAnsiTheme="majorHAnsi"/>
          <w:b w:val="0"/>
          <w:color w:val="auto"/>
          <w:lang w:val="fr-FR"/>
        </w:rPr>
        <w:t>de composi</w:t>
      </w:r>
      <w:r w:rsidR="00624931" w:rsidRPr="00CC4C2D">
        <w:rPr>
          <w:rFonts w:asciiTheme="majorHAnsi" w:hAnsiTheme="majorHAnsi"/>
          <w:b w:val="0"/>
          <w:color w:val="auto"/>
          <w:lang w:val="fr-FR"/>
        </w:rPr>
        <w:t>tion</w:t>
      </w:r>
    </w:p>
    <w:p w14:paraId="159B9C50" w14:textId="77777777" w:rsidR="00CF021F" w:rsidRPr="006E1BC6" w:rsidRDefault="006E1BC6" w:rsidP="006E1BC6">
      <w:r>
        <w:rPr>
          <w:noProof/>
          <w:lang w:val="en-US" w:eastAsia="en-US"/>
        </w:rPr>
        <w:drawing>
          <wp:inline distT="0" distB="0" distL="0" distR="0" wp14:anchorId="380C6887" wp14:editId="4F12C1FC">
            <wp:extent cx="4000500" cy="2857500"/>
            <wp:effectExtent l="0" t="0" r="12700" b="1270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DC86828" w14:textId="77777777" w:rsidR="007310A7" w:rsidRPr="00CC4C2D" w:rsidRDefault="00893F83" w:rsidP="004C5A34">
      <w:pPr>
        <w:jc w:val="both"/>
        <w:rPr>
          <w:rFonts w:asciiTheme="majorHAnsi" w:hAnsiTheme="majorHAnsi"/>
          <w:sz w:val="20"/>
          <w:szCs w:val="20"/>
          <w:lang w:val="fr-FR"/>
        </w:rPr>
      </w:pPr>
      <w:r w:rsidRPr="00CC4C2D">
        <w:rPr>
          <w:rFonts w:asciiTheme="majorHAnsi" w:hAnsiTheme="majorHAnsi"/>
          <w:sz w:val="20"/>
          <w:szCs w:val="20"/>
          <w:lang w:val="fr-FR"/>
        </w:rPr>
        <w:t>Source</w:t>
      </w:r>
      <w:r w:rsidR="007310A7" w:rsidRPr="00CC4C2D">
        <w:rPr>
          <w:rFonts w:asciiTheme="majorHAnsi" w:hAnsiTheme="majorHAnsi"/>
          <w:sz w:val="20"/>
          <w:szCs w:val="20"/>
          <w:lang w:val="fr-FR"/>
        </w:rPr>
        <w:t xml:space="preserve">: INE </w:t>
      </w:r>
      <w:r w:rsidRPr="00CC4C2D">
        <w:rPr>
          <w:rFonts w:asciiTheme="majorHAnsi" w:hAnsiTheme="majorHAnsi"/>
          <w:sz w:val="20"/>
          <w:szCs w:val="20"/>
          <w:lang w:val="fr-FR"/>
        </w:rPr>
        <w:t>statistiques</w:t>
      </w:r>
      <w:r w:rsidR="00624931" w:rsidRPr="00CC4C2D">
        <w:rPr>
          <w:rFonts w:asciiTheme="majorHAnsi" w:hAnsiTheme="majorHAnsi"/>
          <w:sz w:val="20"/>
          <w:szCs w:val="20"/>
          <w:lang w:val="fr-FR"/>
        </w:rPr>
        <w:t xml:space="preserve"> Dé</w:t>
      </w:r>
      <w:r w:rsidR="007310A7" w:rsidRPr="00CC4C2D">
        <w:rPr>
          <w:rFonts w:asciiTheme="majorHAnsi" w:hAnsiTheme="majorHAnsi"/>
          <w:sz w:val="20"/>
          <w:szCs w:val="20"/>
          <w:lang w:val="fr-FR"/>
        </w:rPr>
        <w:t>mogr</w:t>
      </w:r>
      <w:r w:rsidR="00624931" w:rsidRPr="00CC4C2D">
        <w:rPr>
          <w:rFonts w:asciiTheme="majorHAnsi" w:hAnsiTheme="majorHAnsi"/>
          <w:sz w:val="20"/>
          <w:szCs w:val="20"/>
          <w:lang w:val="fr-FR"/>
        </w:rPr>
        <w:t>aphiques</w:t>
      </w:r>
    </w:p>
    <w:p w14:paraId="160F3448" w14:textId="77777777" w:rsidR="007310A7" w:rsidRPr="00EA333F" w:rsidRDefault="007310A7" w:rsidP="004C5A34">
      <w:pPr>
        <w:jc w:val="both"/>
        <w:rPr>
          <w:rFonts w:asciiTheme="majorHAnsi" w:hAnsiTheme="majorHAnsi"/>
          <w:lang w:val="fr-FR"/>
        </w:rPr>
      </w:pPr>
    </w:p>
    <w:p w14:paraId="605569B9" w14:textId="77777777" w:rsidR="00ED79A2" w:rsidRDefault="003F13E9" w:rsidP="004C5A34">
      <w:pPr>
        <w:jc w:val="both"/>
        <w:rPr>
          <w:rFonts w:asciiTheme="majorHAnsi" w:hAnsiTheme="majorHAnsi"/>
          <w:lang w:val="fr-FR"/>
        </w:rPr>
      </w:pPr>
      <w:r w:rsidRPr="00965CC5">
        <w:rPr>
          <w:rFonts w:asciiTheme="majorHAnsi" w:hAnsiTheme="majorHAnsi"/>
          <w:lang w:val="fr-FR"/>
        </w:rPr>
        <w:t>L’augmentation</w:t>
      </w:r>
      <w:r w:rsidR="00C16FF7" w:rsidRPr="00965CC5">
        <w:rPr>
          <w:rFonts w:asciiTheme="majorHAnsi" w:hAnsiTheme="majorHAnsi"/>
          <w:lang w:val="fr-FR"/>
        </w:rPr>
        <w:t xml:space="preserve"> d</w:t>
      </w:r>
      <w:r w:rsidR="00CE4228" w:rsidRPr="00965CC5">
        <w:rPr>
          <w:rFonts w:asciiTheme="majorHAnsi" w:hAnsiTheme="majorHAnsi"/>
          <w:lang w:val="fr-FR"/>
        </w:rPr>
        <w:t>u nombre de familles</w:t>
      </w:r>
      <w:r w:rsidR="00C16FF7" w:rsidRPr="00965CC5">
        <w:rPr>
          <w:rFonts w:asciiTheme="majorHAnsi" w:hAnsiTheme="majorHAnsi"/>
          <w:lang w:val="fr-FR"/>
        </w:rPr>
        <w:t xml:space="preserve"> </w:t>
      </w:r>
      <w:r w:rsidR="00CE4228" w:rsidRPr="00965CC5">
        <w:rPr>
          <w:rFonts w:asciiTheme="majorHAnsi" w:hAnsiTheme="majorHAnsi"/>
          <w:lang w:val="fr-FR"/>
        </w:rPr>
        <w:t xml:space="preserve">s’est également </w:t>
      </w:r>
      <w:r w:rsidR="009533F3" w:rsidRPr="00965CC5">
        <w:rPr>
          <w:rFonts w:asciiTheme="majorHAnsi" w:hAnsiTheme="majorHAnsi"/>
          <w:lang w:val="fr-FR"/>
        </w:rPr>
        <w:t>répercutée</w:t>
      </w:r>
      <w:r w:rsidR="00C16FF7" w:rsidRPr="00965CC5">
        <w:rPr>
          <w:rFonts w:asciiTheme="majorHAnsi" w:hAnsiTheme="majorHAnsi"/>
          <w:lang w:val="fr-FR"/>
        </w:rPr>
        <w:t xml:space="preserve"> </w:t>
      </w:r>
      <w:r w:rsidR="00CE4228" w:rsidRPr="00965CC5">
        <w:rPr>
          <w:rFonts w:asciiTheme="majorHAnsi" w:hAnsiTheme="majorHAnsi"/>
          <w:lang w:val="fr-FR"/>
        </w:rPr>
        <w:t>sur le nombre de familles unipersonnelles</w:t>
      </w:r>
      <w:r w:rsidR="00C16FF7" w:rsidRPr="00965CC5">
        <w:rPr>
          <w:rFonts w:asciiTheme="majorHAnsi" w:hAnsiTheme="majorHAnsi"/>
          <w:lang w:val="fr-FR"/>
        </w:rPr>
        <w:t>, a</w:t>
      </w:r>
      <w:r w:rsidR="00965CC5" w:rsidRPr="00965CC5">
        <w:rPr>
          <w:rFonts w:asciiTheme="majorHAnsi" w:hAnsiTheme="majorHAnsi"/>
          <w:lang w:val="fr-FR"/>
        </w:rPr>
        <w:t>in</w:t>
      </w:r>
      <w:r>
        <w:rPr>
          <w:rFonts w:asciiTheme="majorHAnsi" w:hAnsiTheme="majorHAnsi"/>
          <w:lang w:val="fr-FR"/>
        </w:rPr>
        <w:t>s</w:t>
      </w:r>
      <w:r w:rsidR="00C16FF7" w:rsidRPr="00965CC5">
        <w:rPr>
          <w:rFonts w:asciiTheme="majorHAnsi" w:hAnsiTheme="majorHAnsi"/>
          <w:lang w:val="fr-FR"/>
        </w:rPr>
        <w:t>i</w:t>
      </w:r>
      <w:r>
        <w:rPr>
          <w:rFonts w:asciiTheme="majorHAnsi" w:hAnsiTheme="majorHAnsi"/>
          <w:lang w:val="fr-FR"/>
        </w:rPr>
        <w:t xml:space="preserve"> que</w:t>
      </w:r>
      <w:r w:rsidR="00C16FF7" w:rsidRPr="00965CC5">
        <w:rPr>
          <w:rFonts w:asciiTheme="majorHAnsi" w:hAnsiTheme="majorHAnsi"/>
          <w:lang w:val="fr-FR"/>
        </w:rPr>
        <w:t xml:space="preserve"> </w:t>
      </w:r>
      <w:r w:rsidRPr="00965CC5">
        <w:rPr>
          <w:rFonts w:asciiTheme="majorHAnsi" w:hAnsiTheme="majorHAnsi"/>
          <w:lang w:val="fr-FR"/>
        </w:rPr>
        <w:t>sur</w:t>
      </w:r>
      <w:r w:rsidR="000468F5">
        <w:rPr>
          <w:rFonts w:asciiTheme="majorHAnsi" w:hAnsiTheme="majorHAnsi"/>
          <w:lang w:val="fr-FR"/>
        </w:rPr>
        <w:t xml:space="preserve"> l</w:t>
      </w:r>
      <w:r w:rsidR="000468F5" w:rsidRPr="00965CC5">
        <w:rPr>
          <w:rFonts w:asciiTheme="majorHAnsi" w:hAnsiTheme="majorHAnsi"/>
          <w:lang w:val="fr-FR"/>
        </w:rPr>
        <w:t>’augmentation</w:t>
      </w:r>
      <w:r w:rsidR="000468F5">
        <w:rPr>
          <w:rFonts w:asciiTheme="majorHAnsi" w:hAnsiTheme="majorHAnsi"/>
          <w:lang w:val="fr-FR"/>
        </w:rPr>
        <w:t xml:space="preserve"> des </w:t>
      </w:r>
      <w:r w:rsidR="001222DF">
        <w:rPr>
          <w:rFonts w:asciiTheme="majorHAnsi" w:hAnsiTheme="majorHAnsi"/>
          <w:lang w:val="fr-FR"/>
        </w:rPr>
        <w:t>ménages</w:t>
      </w:r>
      <w:r w:rsidR="000468F5">
        <w:rPr>
          <w:rFonts w:asciiTheme="majorHAnsi" w:hAnsiTheme="majorHAnsi"/>
          <w:lang w:val="fr-FR"/>
        </w:rPr>
        <w:t xml:space="preserve"> </w:t>
      </w:r>
      <w:r w:rsidR="000C7649">
        <w:rPr>
          <w:rFonts w:asciiTheme="majorHAnsi" w:hAnsiTheme="majorHAnsi"/>
          <w:lang w:val="fr-FR"/>
        </w:rPr>
        <w:t>unipersonnels</w:t>
      </w:r>
      <w:r w:rsidR="000468F5">
        <w:rPr>
          <w:rFonts w:asciiTheme="majorHAnsi" w:hAnsiTheme="majorHAnsi"/>
          <w:lang w:val="fr-FR"/>
        </w:rPr>
        <w:t xml:space="preserve"> de plus de 65 ans. </w:t>
      </w:r>
      <w:r w:rsidR="000468F5" w:rsidRPr="000468F5">
        <w:rPr>
          <w:rFonts w:asciiTheme="majorHAnsi" w:hAnsiTheme="majorHAnsi"/>
          <w:lang w:val="fr-FR"/>
        </w:rPr>
        <w:t>Ce changement transparait de</w:t>
      </w:r>
      <w:r w:rsidR="000468F5">
        <w:rPr>
          <w:rFonts w:asciiTheme="majorHAnsi" w:hAnsiTheme="majorHAnsi"/>
          <w:lang w:val="fr-FR"/>
        </w:rPr>
        <w:t>s</w:t>
      </w:r>
      <w:r w:rsidR="000468F5" w:rsidRPr="000468F5">
        <w:rPr>
          <w:rFonts w:asciiTheme="majorHAnsi" w:hAnsiTheme="majorHAnsi"/>
          <w:lang w:val="fr-FR"/>
        </w:rPr>
        <w:t xml:space="preserve"> modifications qui sont apparues au niveau </w:t>
      </w:r>
      <w:r w:rsidR="00032677" w:rsidRPr="000468F5">
        <w:rPr>
          <w:rFonts w:asciiTheme="majorHAnsi" w:hAnsiTheme="majorHAnsi"/>
          <w:lang w:val="fr-FR"/>
        </w:rPr>
        <w:t>des changements</w:t>
      </w:r>
      <w:r w:rsidR="000468F5" w:rsidRPr="000468F5">
        <w:rPr>
          <w:rFonts w:asciiTheme="majorHAnsi" w:hAnsiTheme="majorHAnsi"/>
          <w:lang w:val="fr-FR"/>
        </w:rPr>
        <w:t xml:space="preserve"> de</w:t>
      </w:r>
      <w:r w:rsidR="008E7DB9">
        <w:rPr>
          <w:rFonts w:asciiTheme="majorHAnsi" w:hAnsiTheme="majorHAnsi"/>
          <w:lang w:val="fr-FR"/>
        </w:rPr>
        <w:t>s</w:t>
      </w:r>
      <w:r w:rsidR="000468F5" w:rsidRPr="000468F5">
        <w:rPr>
          <w:rFonts w:asciiTheme="majorHAnsi" w:hAnsiTheme="majorHAnsi"/>
          <w:lang w:val="fr-FR"/>
        </w:rPr>
        <w:t xml:space="preserve"> comportement</w:t>
      </w:r>
      <w:r w:rsidRPr="000468F5">
        <w:rPr>
          <w:rFonts w:asciiTheme="majorHAnsi" w:hAnsiTheme="majorHAnsi"/>
          <w:lang w:val="fr-FR"/>
        </w:rPr>
        <w:t>s</w:t>
      </w:r>
      <w:r w:rsidR="000468F5">
        <w:rPr>
          <w:rFonts w:asciiTheme="majorHAnsi" w:hAnsiTheme="majorHAnsi"/>
          <w:lang w:val="fr-FR"/>
        </w:rPr>
        <w:t xml:space="preserve"> et </w:t>
      </w:r>
      <w:r w:rsidR="009A652C" w:rsidRPr="009A652C">
        <w:rPr>
          <w:rFonts w:asciiTheme="majorHAnsi" w:hAnsiTheme="majorHAnsi"/>
          <w:lang w:val="fr-FR"/>
        </w:rPr>
        <w:t>des nouveaux modes</w:t>
      </w:r>
      <w:r w:rsidR="002A0C6D" w:rsidRPr="009A652C">
        <w:rPr>
          <w:rFonts w:asciiTheme="majorHAnsi" w:hAnsiTheme="majorHAnsi"/>
          <w:lang w:val="fr-FR"/>
        </w:rPr>
        <w:t xml:space="preserve"> de vie</w:t>
      </w:r>
      <w:r w:rsidR="00ED79A2" w:rsidRPr="009A652C">
        <w:rPr>
          <w:rFonts w:asciiTheme="majorHAnsi" w:hAnsiTheme="majorHAnsi"/>
          <w:lang w:val="fr-FR"/>
        </w:rPr>
        <w:t>,</w:t>
      </w:r>
      <w:r w:rsidR="00ED79A2">
        <w:rPr>
          <w:rFonts w:asciiTheme="majorHAnsi" w:hAnsiTheme="majorHAnsi"/>
          <w:lang w:val="fr-FR"/>
        </w:rPr>
        <w:t xml:space="preserve"> notam</w:t>
      </w:r>
      <w:r w:rsidR="000468F5">
        <w:rPr>
          <w:rFonts w:asciiTheme="majorHAnsi" w:hAnsiTheme="majorHAnsi"/>
          <w:lang w:val="fr-FR"/>
        </w:rPr>
        <w:t xml:space="preserve">ment quant aux formes de </w:t>
      </w:r>
      <w:r w:rsidR="00ED79A2">
        <w:rPr>
          <w:rFonts w:asciiTheme="majorHAnsi" w:hAnsiTheme="majorHAnsi"/>
          <w:lang w:val="fr-FR"/>
        </w:rPr>
        <w:t>vie conjugale et de l</w:t>
      </w:r>
      <w:r w:rsidR="008E7DB9">
        <w:rPr>
          <w:rFonts w:asciiTheme="majorHAnsi" w:hAnsiTheme="majorHAnsi"/>
          <w:lang w:val="fr-FR"/>
        </w:rPr>
        <w:t>’accroissement</w:t>
      </w:r>
      <w:r w:rsidR="009533F3">
        <w:rPr>
          <w:rFonts w:asciiTheme="majorHAnsi" w:hAnsiTheme="majorHAnsi"/>
          <w:lang w:val="fr-FR"/>
        </w:rPr>
        <w:t xml:space="preserve"> de </w:t>
      </w:r>
      <w:r w:rsidR="00ED79A2">
        <w:rPr>
          <w:rFonts w:asciiTheme="majorHAnsi" w:hAnsiTheme="majorHAnsi"/>
          <w:lang w:val="fr-FR"/>
        </w:rPr>
        <w:t>l’espérance de vie.</w:t>
      </w:r>
    </w:p>
    <w:p w14:paraId="47C5C78E" w14:textId="77777777" w:rsidR="008E7DB9" w:rsidRDefault="008E7DB9" w:rsidP="00CC4C2D">
      <w:pPr>
        <w:pStyle w:val="Caption"/>
        <w:rPr>
          <w:b w:val="0"/>
          <w:color w:val="auto"/>
          <w:lang w:val="fr-FR"/>
        </w:rPr>
      </w:pPr>
    </w:p>
    <w:p w14:paraId="09857B44" w14:textId="77777777" w:rsidR="00E56925" w:rsidRPr="00CC4C2D" w:rsidRDefault="00C16FF7" w:rsidP="00CC4C2D">
      <w:pPr>
        <w:pStyle w:val="Caption"/>
        <w:rPr>
          <w:rFonts w:asciiTheme="majorHAnsi" w:hAnsiTheme="majorHAnsi"/>
          <w:b w:val="0"/>
          <w:color w:val="auto"/>
          <w:lang w:val="fr-FR"/>
        </w:rPr>
      </w:pPr>
      <w:r w:rsidRPr="00CC4C2D">
        <w:rPr>
          <w:b w:val="0"/>
          <w:color w:val="auto"/>
          <w:lang w:val="fr-FR"/>
        </w:rPr>
        <w:t xml:space="preserve">Graphique nº </w:t>
      </w:r>
      <w:r w:rsidR="00006281" w:rsidRPr="00CC4C2D">
        <w:rPr>
          <w:b w:val="0"/>
          <w:color w:val="auto"/>
        </w:rPr>
        <w:fldChar w:fldCharType="begin"/>
      </w:r>
      <w:r w:rsidR="00907FE2" w:rsidRPr="00CC4C2D">
        <w:rPr>
          <w:b w:val="0"/>
          <w:color w:val="auto"/>
          <w:lang w:val="fr-FR"/>
        </w:rPr>
        <w:instrText xml:space="preserve"> SEQ Graphique_nº \* ARABIC </w:instrText>
      </w:r>
      <w:r w:rsidR="00006281" w:rsidRPr="00CC4C2D">
        <w:rPr>
          <w:b w:val="0"/>
          <w:color w:val="auto"/>
        </w:rPr>
        <w:fldChar w:fldCharType="separate"/>
      </w:r>
      <w:r w:rsidR="00CC4C2D">
        <w:rPr>
          <w:b w:val="0"/>
          <w:noProof/>
          <w:color w:val="auto"/>
          <w:lang w:val="fr-FR"/>
        </w:rPr>
        <w:t>3</w:t>
      </w:r>
      <w:r w:rsidR="00006281" w:rsidRPr="00CC4C2D">
        <w:rPr>
          <w:b w:val="0"/>
          <w:noProof/>
          <w:color w:val="auto"/>
        </w:rPr>
        <w:fldChar w:fldCharType="end"/>
      </w:r>
      <w:r w:rsidR="000C7649" w:rsidRPr="00CC4C2D">
        <w:rPr>
          <w:b w:val="0"/>
          <w:noProof/>
          <w:color w:val="auto"/>
          <w:lang w:val="fr-FR"/>
        </w:rPr>
        <w:t xml:space="preserve"> </w:t>
      </w:r>
      <w:r w:rsidR="001222DF" w:rsidRPr="00CC4C2D">
        <w:rPr>
          <w:rFonts w:asciiTheme="majorHAnsi" w:hAnsiTheme="majorHAnsi"/>
          <w:b w:val="0"/>
          <w:bCs w:val="0"/>
          <w:color w:val="auto"/>
          <w:lang w:val="fr-FR"/>
        </w:rPr>
        <w:t>Ménages</w:t>
      </w:r>
      <w:r w:rsidR="00E56925" w:rsidRPr="00CC4C2D">
        <w:rPr>
          <w:rFonts w:asciiTheme="majorHAnsi" w:hAnsiTheme="majorHAnsi"/>
          <w:b w:val="0"/>
          <w:bCs w:val="0"/>
          <w:color w:val="auto"/>
          <w:lang w:val="fr-FR"/>
        </w:rPr>
        <w:t xml:space="preserve"> cl</w:t>
      </w:r>
      <w:r w:rsidR="00032677" w:rsidRPr="00CC4C2D">
        <w:rPr>
          <w:rFonts w:asciiTheme="majorHAnsi" w:hAnsiTheme="majorHAnsi"/>
          <w:b w:val="0"/>
          <w:bCs w:val="0"/>
          <w:color w:val="auto"/>
          <w:lang w:val="fr-FR"/>
        </w:rPr>
        <w:t>assiques</w:t>
      </w:r>
      <w:r w:rsidR="00E56925" w:rsidRPr="00CC4C2D">
        <w:rPr>
          <w:rFonts w:asciiTheme="majorHAnsi" w:hAnsiTheme="majorHAnsi"/>
          <w:b w:val="0"/>
          <w:bCs w:val="0"/>
          <w:color w:val="auto"/>
          <w:lang w:val="fr-FR"/>
        </w:rPr>
        <w:t xml:space="preserve"> unipe</w:t>
      </w:r>
      <w:r w:rsidR="00032677" w:rsidRPr="00CC4C2D">
        <w:rPr>
          <w:rFonts w:asciiTheme="majorHAnsi" w:hAnsiTheme="majorHAnsi"/>
          <w:b w:val="0"/>
          <w:bCs w:val="0"/>
          <w:color w:val="auto"/>
          <w:lang w:val="fr-FR"/>
        </w:rPr>
        <w:t xml:space="preserve">rsonnels selon </w:t>
      </w:r>
      <w:r w:rsidR="00F05969" w:rsidRPr="00CC4C2D">
        <w:rPr>
          <w:rFonts w:asciiTheme="majorHAnsi" w:hAnsiTheme="majorHAnsi"/>
          <w:b w:val="0"/>
          <w:bCs w:val="0"/>
          <w:color w:val="auto"/>
          <w:lang w:val="fr-FR"/>
        </w:rPr>
        <w:t>les recensements</w:t>
      </w:r>
      <w:r w:rsidR="00032677" w:rsidRPr="00CC4C2D">
        <w:rPr>
          <w:rFonts w:asciiTheme="majorHAnsi" w:hAnsiTheme="majorHAnsi"/>
          <w:b w:val="0"/>
          <w:bCs w:val="0"/>
          <w:color w:val="auto"/>
          <w:lang w:val="fr-FR"/>
        </w:rPr>
        <w:t>: Total et âgés de 65 ans et plus</w:t>
      </w:r>
      <w:r w:rsidR="00E56925" w:rsidRPr="00CC4C2D">
        <w:rPr>
          <w:rFonts w:asciiTheme="majorHAnsi" w:hAnsiTheme="majorHAnsi"/>
          <w:b w:val="0"/>
          <w:bCs w:val="0"/>
          <w:color w:val="auto"/>
          <w:lang w:val="fr-FR"/>
        </w:rPr>
        <w:t xml:space="preserve">: </w:t>
      </w:r>
    </w:p>
    <w:p w14:paraId="60D689A9" w14:textId="77777777" w:rsidR="006E1BC6" w:rsidRDefault="00B03415" w:rsidP="004C5A34">
      <w:pPr>
        <w:jc w:val="both"/>
        <w:rPr>
          <w:rFonts w:asciiTheme="majorHAnsi" w:hAnsiTheme="majorHAnsi"/>
          <w:lang w:val="fr-FR"/>
        </w:rPr>
      </w:pPr>
      <w:r>
        <w:rPr>
          <w:noProof/>
          <w:lang w:val="en-US" w:eastAsia="en-US"/>
        </w:rPr>
        <w:drawing>
          <wp:inline distT="0" distB="0" distL="0" distR="0" wp14:anchorId="1DA8B5AB" wp14:editId="0291B637">
            <wp:extent cx="3886200" cy="2597150"/>
            <wp:effectExtent l="0" t="0" r="2540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16C0DCF" w14:textId="77777777" w:rsidR="00B750A9" w:rsidRPr="00CC4C2D" w:rsidRDefault="00032677" w:rsidP="004C5A34">
      <w:pPr>
        <w:jc w:val="both"/>
        <w:rPr>
          <w:rFonts w:asciiTheme="majorHAnsi" w:hAnsiTheme="majorHAnsi"/>
          <w:sz w:val="20"/>
          <w:szCs w:val="20"/>
          <w:lang w:val="fr-FR"/>
        </w:rPr>
      </w:pPr>
      <w:r w:rsidRPr="00CC4C2D">
        <w:rPr>
          <w:rFonts w:asciiTheme="majorHAnsi" w:hAnsiTheme="majorHAnsi"/>
          <w:sz w:val="20"/>
          <w:szCs w:val="20"/>
          <w:lang w:val="fr-FR"/>
        </w:rPr>
        <w:t>Source</w:t>
      </w:r>
      <w:r w:rsidR="00C16FF7" w:rsidRPr="00CC4C2D">
        <w:rPr>
          <w:rFonts w:asciiTheme="majorHAnsi" w:hAnsiTheme="majorHAnsi"/>
          <w:sz w:val="20"/>
          <w:szCs w:val="20"/>
          <w:lang w:val="fr-FR"/>
        </w:rPr>
        <w:t>: INE Recensement d</w:t>
      </w:r>
      <w:r w:rsidRPr="00CC4C2D">
        <w:rPr>
          <w:rFonts w:asciiTheme="majorHAnsi" w:hAnsiTheme="majorHAnsi"/>
          <w:sz w:val="20"/>
          <w:szCs w:val="20"/>
          <w:lang w:val="fr-FR"/>
        </w:rPr>
        <w:t xml:space="preserve">e la </w:t>
      </w:r>
      <w:r w:rsidR="00C16FF7" w:rsidRPr="00CC4C2D">
        <w:rPr>
          <w:rFonts w:asciiTheme="majorHAnsi" w:hAnsiTheme="majorHAnsi"/>
          <w:sz w:val="20"/>
          <w:szCs w:val="20"/>
          <w:lang w:val="fr-FR"/>
        </w:rPr>
        <w:t>Popula</w:t>
      </w:r>
      <w:r w:rsidRPr="00CC4C2D">
        <w:rPr>
          <w:rFonts w:asciiTheme="majorHAnsi" w:hAnsiTheme="majorHAnsi"/>
          <w:sz w:val="20"/>
          <w:szCs w:val="20"/>
          <w:lang w:val="fr-FR"/>
        </w:rPr>
        <w:t>tion</w:t>
      </w:r>
      <w:r w:rsidR="00C16FF7" w:rsidRPr="00CC4C2D">
        <w:rPr>
          <w:rFonts w:asciiTheme="majorHAnsi" w:hAnsiTheme="majorHAnsi"/>
          <w:sz w:val="20"/>
          <w:szCs w:val="20"/>
          <w:lang w:val="fr-FR"/>
        </w:rPr>
        <w:t xml:space="preserve"> </w:t>
      </w:r>
    </w:p>
    <w:p w14:paraId="495A89E0" w14:textId="77777777" w:rsidR="00B750A9" w:rsidRPr="00032677" w:rsidRDefault="00B750A9" w:rsidP="004C5A34">
      <w:pPr>
        <w:jc w:val="both"/>
        <w:rPr>
          <w:rFonts w:asciiTheme="majorHAnsi" w:hAnsiTheme="majorHAnsi"/>
          <w:lang w:val="fr-FR"/>
        </w:rPr>
      </w:pPr>
    </w:p>
    <w:p w14:paraId="07AF2165" w14:textId="2C90B150" w:rsidR="00C16FF7" w:rsidRPr="00F1060E" w:rsidRDefault="00032677" w:rsidP="004C5A34">
      <w:pPr>
        <w:jc w:val="both"/>
        <w:rPr>
          <w:rFonts w:asciiTheme="majorHAnsi" w:hAnsiTheme="majorHAnsi"/>
          <w:lang w:val="fr-FR"/>
        </w:rPr>
      </w:pPr>
      <w:r w:rsidRPr="00032677">
        <w:rPr>
          <w:rFonts w:asciiTheme="majorHAnsi" w:hAnsiTheme="majorHAnsi"/>
          <w:lang w:val="fr-FR"/>
        </w:rPr>
        <w:lastRenderedPageBreak/>
        <w:t>Bien que le nombre de fam</w:t>
      </w:r>
      <w:r w:rsidR="009A652C">
        <w:rPr>
          <w:rFonts w:asciiTheme="majorHAnsi" w:hAnsiTheme="majorHAnsi"/>
          <w:lang w:val="fr-FR"/>
        </w:rPr>
        <w:t>illes ait augmenté, les hausses</w:t>
      </w:r>
      <w:r w:rsidRPr="00032677">
        <w:rPr>
          <w:rFonts w:asciiTheme="majorHAnsi" w:hAnsiTheme="majorHAnsi"/>
          <w:lang w:val="fr-FR"/>
        </w:rPr>
        <w:t xml:space="preserve"> les plus importantes se produisent dans les</w:t>
      </w:r>
      <w:r w:rsidR="00944036">
        <w:rPr>
          <w:rFonts w:asciiTheme="majorHAnsi" w:hAnsiTheme="majorHAnsi"/>
          <w:lang w:val="fr-FR"/>
        </w:rPr>
        <w:t xml:space="preserve"> </w:t>
      </w:r>
      <w:r w:rsidRPr="00032677">
        <w:rPr>
          <w:rFonts w:asciiTheme="majorHAnsi" w:hAnsiTheme="majorHAnsi"/>
          <w:lang w:val="fr-FR"/>
        </w:rPr>
        <w:t>familles compos</w:t>
      </w:r>
      <w:r>
        <w:rPr>
          <w:rFonts w:asciiTheme="majorHAnsi" w:hAnsiTheme="majorHAnsi"/>
          <w:lang w:val="fr-FR"/>
        </w:rPr>
        <w:t>ées de 2 personnes</w:t>
      </w:r>
      <w:r w:rsidR="00944036">
        <w:rPr>
          <w:rFonts w:asciiTheme="majorHAnsi" w:hAnsiTheme="majorHAnsi"/>
          <w:lang w:val="fr-FR"/>
        </w:rPr>
        <w:t xml:space="preserve">. </w:t>
      </w:r>
      <w:r w:rsidR="00F1060E" w:rsidRPr="00F1060E">
        <w:rPr>
          <w:rFonts w:asciiTheme="majorHAnsi" w:hAnsiTheme="majorHAnsi"/>
          <w:lang w:val="fr-FR"/>
        </w:rPr>
        <w:t>Parmi les familles les plus nombreuses, considérant celles à partir de 4 personnes</w:t>
      </w:r>
      <w:r w:rsidR="00F1060E">
        <w:rPr>
          <w:rFonts w:asciiTheme="majorHAnsi" w:hAnsiTheme="majorHAnsi"/>
          <w:lang w:val="fr-FR"/>
        </w:rPr>
        <w:t>,</w:t>
      </w:r>
      <w:r w:rsidRPr="00F1060E">
        <w:rPr>
          <w:rFonts w:asciiTheme="majorHAnsi" w:hAnsiTheme="majorHAnsi"/>
          <w:lang w:val="fr-FR"/>
        </w:rPr>
        <w:t xml:space="preserve"> </w:t>
      </w:r>
      <w:r w:rsidR="00F1060E">
        <w:rPr>
          <w:rFonts w:asciiTheme="majorHAnsi" w:hAnsiTheme="majorHAnsi"/>
          <w:lang w:val="fr-FR"/>
        </w:rPr>
        <w:t xml:space="preserve">on note </w:t>
      </w:r>
      <w:r w:rsidR="00F1060E" w:rsidRPr="009A652C">
        <w:rPr>
          <w:rFonts w:asciiTheme="majorHAnsi" w:hAnsiTheme="majorHAnsi"/>
          <w:lang w:val="fr-FR"/>
        </w:rPr>
        <w:t>une diminution progressive.</w:t>
      </w:r>
      <w:r w:rsidR="00E64111" w:rsidRPr="00F1060E">
        <w:rPr>
          <w:rFonts w:asciiTheme="majorHAnsi" w:hAnsiTheme="majorHAnsi"/>
          <w:lang w:val="fr-FR"/>
        </w:rPr>
        <w:t xml:space="preserve"> </w:t>
      </w:r>
    </w:p>
    <w:p w14:paraId="64A0CD78" w14:textId="77777777" w:rsidR="00B750A9" w:rsidRDefault="00B750A9" w:rsidP="004C5A34">
      <w:pPr>
        <w:jc w:val="both"/>
        <w:rPr>
          <w:rFonts w:asciiTheme="majorHAnsi" w:hAnsiTheme="majorHAnsi"/>
          <w:lang w:val="fr-FR"/>
        </w:rPr>
      </w:pPr>
    </w:p>
    <w:p w14:paraId="07F77420" w14:textId="77777777" w:rsidR="00937D06" w:rsidRPr="00CC4C2D" w:rsidRDefault="00C16FF7" w:rsidP="00C16FF7">
      <w:pPr>
        <w:pStyle w:val="Caption"/>
        <w:rPr>
          <w:rFonts w:asciiTheme="majorHAnsi" w:hAnsiTheme="majorHAnsi"/>
          <w:b w:val="0"/>
          <w:color w:val="auto"/>
          <w:lang w:val="fr-FR"/>
        </w:rPr>
      </w:pPr>
      <w:r w:rsidRPr="00CC4C2D">
        <w:rPr>
          <w:b w:val="0"/>
          <w:color w:val="auto"/>
          <w:lang w:val="fr-FR"/>
        </w:rPr>
        <w:t xml:space="preserve">Graphique nº </w:t>
      </w:r>
      <w:r w:rsidR="00006281" w:rsidRPr="00CC4C2D">
        <w:rPr>
          <w:b w:val="0"/>
          <w:color w:val="auto"/>
        </w:rPr>
        <w:fldChar w:fldCharType="begin"/>
      </w:r>
      <w:r w:rsidR="00907FE2" w:rsidRPr="00CC4C2D">
        <w:rPr>
          <w:b w:val="0"/>
          <w:color w:val="auto"/>
          <w:lang w:val="fr-FR"/>
        </w:rPr>
        <w:instrText xml:space="preserve"> SEQ Graphique_nº \* ARABIC </w:instrText>
      </w:r>
      <w:r w:rsidR="00006281" w:rsidRPr="00CC4C2D">
        <w:rPr>
          <w:b w:val="0"/>
          <w:color w:val="auto"/>
        </w:rPr>
        <w:fldChar w:fldCharType="separate"/>
      </w:r>
      <w:r w:rsidR="00CC4C2D">
        <w:rPr>
          <w:b w:val="0"/>
          <w:noProof/>
          <w:color w:val="auto"/>
          <w:lang w:val="fr-FR"/>
        </w:rPr>
        <w:t>4</w:t>
      </w:r>
      <w:r w:rsidR="00006281" w:rsidRPr="00CC4C2D">
        <w:rPr>
          <w:b w:val="0"/>
          <w:noProof/>
          <w:color w:val="auto"/>
        </w:rPr>
        <w:fldChar w:fldCharType="end"/>
      </w:r>
      <w:r w:rsidR="00DB067B" w:rsidRPr="00CC4C2D">
        <w:rPr>
          <w:b w:val="0"/>
          <w:noProof/>
          <w:color w:val="auto"/>
          <w:lang w:val="fr-FR"/>
        </w:rPr>
        <w:t xml:space="preserve"> </w:t>
      </w:r>
      <w:r w:rsidR="00937D06" w:rsidRPr="00CC4C2D">
        <w:rPr>
          <w:rFonts w:asciiTheme="majorHAnsi" w:hAnsiTheme="majorHAnsi"/>
          <w:b w:val="0"/>
          <w:color w:val="auto"/>
          <w:lang w:val="fr-FR"/>
        </w:rPr>
        <w:t>Fa</w:t>
      </w:r>
      <w:r w:rsidR="00F1060E" w:rsidRPr="00CC4C2D">
        <w:rPr>
          <w:rFonts w:asciiTheme="majorHAnsi" w:hAnsiTheme="majorHAnsi"/>
          <w:b w:val="0"/>
          <w:color w:val="auto"/>
          <w:lang w:val="fr-FR"/>
        </w:rPr>
        <w:t xml:space="preserve">milles </w:t>
      </w:r>
      <w:r w:rsidR="00DB067B" w:rsidRPr="00CC4C2D">
        <w:rPr>
          <w:rFonts w:asciiTheme="majorHAnsi" w:hAnsiTheme="majorHAnsi"/>
          <w:b w:val="0"/>
          <w:color w:val="auto"/>
          <w:lang w:val="fr-FR"/>
        </w:rPr>
        <w:t>classiques</w:t>
      </w:r>
      <w:r w:rsidR="00CA4544" w:rsidRPr="00CC4C2D">
        <w:rPr>
          <w:rFonts w:asciiTheme="majorHAnsi" w:hAnsiTheme="majorHAnsi"/>
          <w:b w:val="0"/>
          <w:color w:val="auto"/>
          <w:lang w:val="fr-FR"/>
        </w:rPr>
        <w:t xml:space="preserve"> suivant la composition</w:t>
      </w:r>
      <w:r w:rsidR="00937D06" w:rsidRPr="00CC4C2D">
        <w:rPr>
          <w:rFonts w:asciiTheme="majorHAnsi" w:hAnsiTheme="majorHAnsi"/>
          <w:b w:val="0"/>
          <w:color w:val="auto"/>
          <w:lang w:val="fr-FR"/>
        </w:rPr>
        <w:t xml:space="preserve"> </w:t>
      </w:r>
      <w:r w:rsidR="00F1060E" w:rsidRPr="00CC4C2D">
        <w:rPr>
          <w:rFonts w:asciiTheme="majorHAnsi" w:hAnsiTheme="majorHAnsi"/>
          <w:b w:val="0"/>
          <w:color w:val="auto"/>
          <w:lang w:val="fr-FR"/>
        </w:rPr>
        <w:t>d’après le recensement</w:t>
      </w:r>
    </w:p>
    <w:p w14:paraId="3B2EA8F2" w14:textId="77777777" w:rsidR="00937D06" w:rsidRDefault="00CA4544" w:rsidP="004C5A34">
      <w:pPr>
        <w:jc w:val="both"/>
        <w:rPr>
          <w:rFonts w:asciiTheme="majorHAnsi" w:hAnsiTheme="majorHAnsi"/>
        </w:rPr>
      </w:pPr>
      <w:r>
        <w:rPr>
          <w:noProof/>
          <w:lang w:val="en-US" w:eastAsia="en-US"/>
        </w:rPr>
        <w:drawing>
          <wp:inline distT="0" distB="0" distL="0" distR="0" wp14:anchorId="0C72EC7F" wp14:editId="07ADAB49">
            <wp:extent cx="4114800" cy="2171700"/>
            <wp:effectExtent l="0" t="0" r="25400" b="1270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8142409" w14:textId="77777777" w:rsidR="00DB067B" w:rsidRPr="00CC4C2D" w:rsidRDefault="00CC4C2D" w:rsidP="00DB067B">
      <w:pPr>
        <w:jc w:val="both"/>
        <w:rPr>
          <w:rFonts w:asciiTheme="majorHAnsi" w:hAnsiTheme="majorHAnsi"/>
          <w:sz w:val="20"/>
          <w:szCs w:val="20"/>
          <w:lang w:val="fr-FR"/>
        </w:rPr>
      </w:pPr>
      <w:r>
        <w:rPr>
          <w:rFonts w:asciiTheme="majorHAnsi" w:hAnsiTheme="majorHAnsi"/>
          <w:sz w:val="20"/>
          <w:szCs w:val="20"/>
          <w:lang w:val="fr-FR"/>
        </w:rPr>
        <w:t xml:space="preserve">Source: INE Recensement de la </w:t>
      </w:r>
      <w:r w:rsidR="00DB067B" w:rsidRPr="00CC4C2D">
        <w:rPr>
          <w:rFonts w:asciiTheme="majorHAnsi" w:hAnsiTheme="majorHAnsi"/>
          <w:sz w:val="20"/>
          <w:szCs w:val="20"/>
          <w:lang w:val="fr-FR"/>
        </w:rPr>
        <w:t xml:space="preserve">Population </w:t>
      </w:r>
    </w:p>
    <w:p w14:paraId="15312AED" w14:textId="77777777" w:rsidR="00EB4E4E" w:rsidRDefault="00EB4E4E" w:rsidP="00F3647D">
      <w:pPr>
        <w:pStyle w:val="Caption"/>
        <w:rPr>
          <w:lang w:val="fr-FR"/>
        </w:rPr>
      </w:pPr>
    </w:p>
    <w:p w14:paraId="1A488BB5" w14:textId="77777777" w:rsidR="00F3647D" w:rsidRPr="00CC4C2D" w:rsidRDefault="00C16FF7" w:rsidP="00CC4C2D">
      <w:pPr>
        <w:pStyle w:val="Caption"/>
        <w:jc w:val="center"/>
        <w:rPr>
          <w:rFonts w:asciiTheme="majorHAnsi" w:hAnsiTheme="majorHAnsi"/>
          <w:b w:val="0"/>
          <w:color w:val="auto"/>
          <w:lang w:val="fr-FR"/>
        </w:rPr>
      </w:pPr>
      <w:r w:rsidRPr="00CC4C2D">
        <w:rPr>
          <w:b w:val="0"/>
          <w:color w:val="auto"/>
          <w:lang w:val="fr-FR"/>
        </w:rPr>
        <w:t xml:space="preserve">Tableau nº </w:t>
      </w:r>
      <w:r w:rsidR="00006281" w:rsidRPr="00CC4C2D">
        <w:rPr>
          <w:b w:val="0"/>
          <w:color w:val="auto"/>
        </w:rPr>
        <w:fldChar w:fldCharType="begin"/>
      </w:r>
      <w:r w:rsidR="00907FE2" w:rsidRPr="00CC4C2D">
        <w:rPr>
          <w:b w:val="0"/>
          <w:color w:val="auto"/>
          <w:lang w:val="fr-FR"/>
        </w:rPr>
        <w:instrText xml:space="preserve"> SEQ Tableau_nº \* ARABIC </w:instrText>
      </w:r>
      <w:r w:rsidR="00006281" w:rsidRPr="00CC4C2D">
        <w:rPr>
          <w:b w:val="0"/>
          <w:color w:val="auto"/>
        </w:rPr>
        <w:fldChar w:fldCharType="separate"/>
      </w:r>
      <w:r w:rsidR="00791798" w:rsidRPr="00CC4C2D">
        <w:rPr>
          <w:b w:val="0"/>
          <w:noProof/>
          <w:color w:val="auto"/>
          <w:lang w:val="fr-FR"/>
        </w:rPr>
        <w:t>1</w:t>
      </w:r>
      <w:r w:rsidR="00006281" w:rsidRPr="00CC4C2D">
        <w:rPr>
          <w:b w:val="0"/>
          <w:noProof/>
          <w:color w:val="auto"/>
        </w:rPr>
        <w:fldChar w:fldCharType="end"/>
      </w:r>
      <w:r w:rsidR="00C93F85" w:rsidRPr="00CC4C2D">
        <w:rPr>
          <w:b w:val="0"/>
          <w:noProof/>
          <w:color w:val="auto"/>
          <w:lang w:val="fr-FR"/>
        </w:rPr>
        <w:t xml:space="preserve"> </w:t>
      </w:r>
      <w:r w:rsidR="00F3647D" w:rsidRPr="00CC4C2D">
        <w:rPr>
          <w:rFonts w:asciiTheme="majorHAnsi" w:hAnsiTheme="majorHAnsi"/>
          <w:b w:val="0"/>
          <w:color w:val="auto"/>
          <w:lang w:val="fr-FR"/>
        </w:rPr>
        <w:t>Fam</w:t>
      </w:r>
      <w:r w:rsidR="00ED79A2" w:rsidRPr="00CC4C2D">
        <w:rPr>
          <w:rFonts w:asciiTheme="majorHAnsi" w:hAnsiTheme="majorHAnsi"/>
          <w:b w:val="0"/>
          <w:color w:val="auto"/>
          <w:lang w:val="fr-FR"/>
        </w:rPr>
        <w:t>illes</w:t>
      </w:r>
      <w:r w:rsidR="00F3647D" w:rsidRPr="00CC4C2D">
        <w:rPr>
          <w:rFonts w:asciiTheme="majorHAnsi" w:hAnsiTheme="majorHAnsi"/>
          <w:b w:val="0"/>
          <w:color w:val="auto"/>
          <w:lang w:val="fr-FR"/>
        </w:rPr>
        <w:t xml:space="preserve"> cl</w:t>
      </w:r>
      <w:r w:rsidR="00ED79A2" w:rsidRPr="00CC4C2D">
        <w:rPr>
          <w:rFonts w:asciiTheme="majorHAnsi" w:hAnsiTheme="majorHAnsi"/>
          <w:b w:val="0"/>
          <w:color w:val="auto"/>
          <w:lang w:val="fr-FR"/>
        </w:rPr>
        <w:t>a</w:t>
      </w:r>
      <w:r w:rsidR="00F3647D" w:rsidRPr="00CC4C2D">
        <w:rPr>
          <w:rFonts w:asciiTheme="majorHAnsi" w:hAnsiTheme="majorHAnsi"/>
          <w:b w:val="0"/>
          <w:color w:val="auto"/>
          <w:lang w:val="fr-FR"/>
        </w:rPr>
        <w:t>ssi</w:t>
      </w:r>
      <w:r w:rsidR="00ED79A2" w:rsidRPr="00CC4C2D">
        <w:rPr>
          <w:rFonts w:asciiTheme="majorHAnsi" w:hAnsiTheme="majorHAnsi"/>
          <w:b w:val="0"/>
          <w:color w:val="auto"/>
          <w:lang w:val="fr-FR"/>
        </w:rPr>
        <w:t>ques</w:t>
      </w:r>
      <w:r w:rsidR="00F3647D" w:rsidRPr="00CC4C2D">
        <w:rPr>
          <w:rFonts w:asciiTheme="majorHAnsi" w:hAnsiTheme="majorHAnsi"/>
          <w:b w:val="0"/>
          <w:color w:val="auto"/>
          <w:lang w:val="fr-FR"/>
        </w:rPr>
        <w:t xml:space="preserve"> </w:t>
      </w:r>
      <w:r w:rsidR="000C7649" w:rsidRPr="00CC4C2D">
        <w:rPr>
          <w:rFonts w:asciiTheme="majorHAnsi" w:hAnsiTheme="majorHAnsi"/>
          <w:b w:val="0"/>
          <w:color w:val="auto"/>
          <w:lang w:val="fr-FR"/>
        </w:rPr>
        <w:t>suivant le</w:t>
      </w:r>
      <w:r w:rsidR="00F3647D" w:rsidRPr="00CC4C2D">
        <w:rPr>
          <w:rFonts w:asciiTheme="majorHAnsi" w:hAnsiTheme="majorHAnsi"/>
          <w:b w:val="0"/>
          <w:color w:val="auto"/>
          <w:lang w:val="fr-FR"/>
        </w:rPr>
        <w:t xml:space="preserve"> n</w:t>
      </w:r>
      <w:r w:rsidR="00ED79A2" w:rsidRPr="00CC4C2D">
        <w:rPr>
          <w:rFonts w:asciiTheme="majorHAnsi" w:hAnsiTheme="majorHAnsi"/>
          <w:b w:val="0"/>
          <w:color w:val="auto"/>
          <w:lang w:val="fr-FR"/>
        </w:rPr>
        <w:t>ombre d’individus</w:t>
      </w:r>
      <w:r w:rsidR="00F3647D" w:rsidRPr="00CC4C2D">
        <w:rPr>
          <w:rFonts w:asciiTheme="majorHAnsi" w:hAnsiTheme="majorHAnsi"/>
          <w:b w:val="0"/>
          <w:color w:val="auto"/>
          <w:lang w:val="fr-FR"/>
        </w:rPr>
        <w:t xml:space="preserve"> </w:t>
      </w:r>
      <w:r w:rsidR="00224EEE" w:rsidRPr="00CC4C2D">
        <w:rPr>
          <w:rFonts w:asciiTheme="majorHAnsi" w:hAnsiTheme="majorHAnsi"/>
          <w:b w:val="0"/>
          <w:color w:val="auto"/>
          <w:lang w:val="fr-FR"/>
        </w:rPr>
        <w:t>d’</w:t>
      </w:r>
      <w:r w:rsidR="00C93F85" w:rsidRPr="00CC4C2D">
        <w:rPr>
          <w:rFonts w:asciiTheme="majorHAnsi" w:hAnsiTheme="majorHAnsi"/>
          <w:b w:val="0"/>
          <w:color w:val="auto"/>
          <w:lang w:val="fr-FR"/>
        </w:rPr>
        <w:t>après</w:t>
      </w:r>
      <w:r w:rsidR="00ED79A2" w:rsidRPr="00CC4C2D">
        <w:rPr>
          <w:rFonts w:asciiTheme="majorHAnsi" w:hAnsiTheme="majorHAnsi"/>
          <w:b w:val="0"/>
          <w:color w:val="auto"/>
          <w:lang w:val="fr-FR"/>
        </w:rPr>
        <w:t xml:space="preserve"> le recensement</w:t>
      </w:r>
    </w:p>
    <w:tbl>
      <w:tblPr>
        <w:tblStyle w:val="TableGrid"/>
        <w:tblW w:w="6125" w:type="dxa"/>
        <w:jc w:val="center"/>
        <w:tblLook w:val="04A0" w:firstRow="1" w:lastRow="0" w:firstColumn="1" w:lastColumn="0" w:noHBand="0" w:noVBand="1"/>
      </w:tblPr>
      <w:tblGrid>
        <w:gridCol w:w="2850"/>
        <w:gridCol w:w="995"/>
        <w:gridCol w:w="1140"/>
        <w:gridCol w:w="1140"/>
      </w:tblGrid>
      <w:tr w:rsidR="00AB25D8" w:rsidRPr="00AB25D8" w14:paraId="3F981F58" w14:textId="77777777" w:rsidTr="00AA33E9">
        <w:trPr>
          <w:trHeight w:val="240"/>
          <w:jc w:val="center"/>
        </w:trPr>
        <w:tc>
          <w:tcPr>
            <w:tcW w:w="2850" w:type="dxa"/>
            <w:noWrap/>
            <w:hideMark/>
          </w:tcPr>
          <w:p w14:paraId="6C246EC6" w14:textId="77777777" w:rsidR="00AB25D8" w:rsidRPr="00CC4C2D" w:rsidRDefault="00AB25D8" w:rsidP="00AB25D8">
            <w:pPr>
              <w:rPr>
                <w:rFonts w:asciiTheme="majorHAnsi" w:eastAsia="Times New Roman" w:hAnsiTheme="majorHAnsi" w:cs="Arial"/>
                <w:sz w:val="20"/>
                <w:szCs w:val="20"/>
                <w:lang w:val="fr-FR"/>
              </w:rPr>
            </w:pPr>
          </w:p>
        </w:tc>
        <w:tc>
          <w:tcPr>
            <w:tcW w:w="995" w:type="dxa"/>
            <w:noWrap/>
            <w:hideMark/>
          </w:tcPr>
          <w:p w14:paraId="4CBAA1D5" w14:textId="77777777" w:rsidR="00AB25D8" w:rsidRPr="00CC4C2D" w:rsidRDefault="00AB25D8" w:rsidP="00AB25D8">
            <w:pPr>
              <w:jc w:val="right"/>
              <w:rPr>
                <w:rFonts w:asciiTheme="majorHAnsi" w:eastAsia="Times New Roman" w:hAnsiTheme="majorHAnsi" w:cs="Arial"/>
                <w:sz w:val="20"/>
                <w:szCs w:val="20"/>
              </w:rPr>
            </w:pPr>
            <w:r w:rsidRPr="00CC4C2D">
              <w:rPr>
                <w:rFonts w:asciiTheme="majorHAnsi" w:eastAsia="Times New Roman" w:hAnsiTheme="majorHAnsi" w:cs="Arial"/>
                <w:sz w:val="20"/>
                <w:szCs w:val="20"/>
              </w:rPr>
              <w:t>1991</w:t>
            </w:r>
          </w:p>
        </w:tc>
        <w:tc>
          <w:tcPr>
            <w:tcW w:w="1140" w:type="dxa"/>
            <w:noWrap/>
            <w:hideMark/>
          </w:tcPr>
          <w:p w14:paraId="2EDF449E" w14:textId="77777777" w:rsidR="00AB25D8" w:rsidRPr="00CC4C2D" w:rsidRDefault="00AB25D8" w:rsidP="00AB25D8">
            <w:pPr>
              <w:jc w:val="right"/>
              <w:rPr>
                <w:rFonts w:asciiTheme="majorHAnsi" w:eastAsia="Times New Roman" w:hAnsiTheme="majorHAnsi" w:cs="Arial"/>
                <w:sz w:val="20"/>
                <w:szCs w:val="20"/>
              </w:rPr>
            </w:pPr>
            <w:r w:rsidRPr="00CC4C2D">
              <w:rPr>
                <w:rFonts w:asciiTheme="majorHAnsi" w:eastAsia="Times New Roman" w:hAnsiTheme="majorHAnsi" w:cs="Arial"/>
                <w:sz w:val="20"/>
                <w:szCs w:val="20"/>
              </w:rPr>
              <w:t>2001</w:t>
            </w:r>
          </w:p>
        </w:tc>
        <w:tc>
          <w:tcPr>
            <w:tcW w:w="1140" w:type="dxa"/>
            <w:noWrap/>
            <w:hideMark/>
          </w:tcPr>
          <w:p w14:paraId="46582BE1" w14:textId="77777777" w:rsidR="00AB25D8" w:rsidRPr="00CC4C2D" w:rsidRDefault="00AB25D8" w:rsidP="00AB25D8">
            <w:pPr>
              <w:jc w:val="right"/>
              <w:rPr>
                <w:rFonts w:asciiTheme="majorHAnsi" w:eastAsia="Times New Roman" w:hAnsiTheme="majorHAnsi" w:cs="Arial"/>
                <w:sz w:val="20"/>
                <w:szCs w:val="20"/>
              </w:rPr>
            </w:pPr>
            <w:r w:rsidRPr="00CC4C2D">
              <w:rPr>
                <w:rFonts w:asciiTheme="majorHAnsi" w:eastAsia="Times New Roman" w:hAnsiTheme="majorHAnsi" w:cs="Arial"/>
                <w:sz w:val="20"/>
                <w:szCs w:val="20"/>
              </w:rPr>
              <w:t>2011</w:t>
            </w:r>
          </w:p>
        </w:tc>
      </w:tr>
      <w:tr w:rsidR="00AB25D8" w:rsidRPr="00AB25D8" w14:paraId="0DA5819E" w14:textId="77777777" w:rsidTr="00AA33E9">
        <w:trPr>
          <w:trHeight w:val="240"/>
          <w:jc w:val="center"/>
        </w:trPr>
        <w:tc>
          <w:tcPr>
            <w:tcW w:w="2850" w:type="dxa"/>
            <w:noWrap/>
            <w:hideMark/>
          </w:tcPr>
          <w:p w14:paraId="49F74D2F" w14:textId="77777777" w:rsidR="00AB25D8" w:rsidRPr="00CC4C2D" w:rsidRDefault="00AB25D8" w:rsidP="00AB25D8">
            <w:pPr>
              <w:rPr>
                <w:rFonts w:asciiTheme="majorHAnsi" w:eastAsia="Times New Roman" w:hAnsiTheme="majorHAnsi" w:cs="Arial"/>
                <w:sz w:val="20"/>
                <w:szCs w:val="20"/>
              </w:rPr>
            </w:pPr>
            <w:r w:rsidRPr="00CC4C2D">
              <w:rPr>
                <w:rFonts w:asciiTheme="majorHAnsi" w:eastAsia="Times New Roman" w:hAnsiTheme="majorHAnsi" w:cs="Arial"/>
                <w:sz w:val="20"/>
                <w:szCs w:val="20"/>
              </w:rPr>
              <w:t xml:space="preserve">Total </w:t>
            </w:r>
          </w:p>
        </w:tc>
        <w:tc>
          <w:tcPr>
            <w:tcW w:w="995" w:type="dxa"/>
            <w:noWrap/>
            <w:hideMark/>
          </w:tcPr>
          <w:p w14:paraId="2F58D23A" w14:textId="77777777" w:rsidR="00AB25D8" w:rsidRPr="00CC4C2D" w:rsidRDefault="00AB25D8" w:rsidP="00AB25D8">
            <w:pPr>
              <w:jc w:val="right"/>
              <w:rPr>
                <w:rFonts w:asciiTheme="majorHAnsi" w:eastAsia="Times New Roman" w:hAnsiTheme="majorHAnsi" w:cs="Arial"/>
                <w:sz w:val="20"/>
                <w:szCs w:val="20"/>
              </w:rPr>
            </w:pPr>
            <w:r w:rsidRPr="00CC4C2D">
              <w:rPr>
                <w:rFonts w:asciiTheme="majorHAnsi" w:eastAsia="Times New Roman" w:hAnsiTheme="majorHAnsi" w:cs="Arial"/>
                <w:sz w:val="20"/>
                <w:szCs w:val="20"/>
              </w:rPr>
              <w:t>3147403</w:t>
            </w:r>
          </w:p>
        </w:tc>
        <w:tc>
          <w:tcPr>
            <w:tcW w:w="1140" w:type="dxa"/>
            <w:noWrap/>
            <w:hideMark/>
          </w:tcPr>
          <w:p w14:paraId="7D85BFDA" w14:textId="77777777" w:rsidR="00AB25D8" w:rsidRPr="00CC4C2D" w:rsidRDefault="00AB25D8" w:rsidP="00AB25D8">
            <w:pPr>
              <w:jc w:val="right"/>
              <w:rPr>
                <w:rFonts w:asciiTheme="majorHAnsi" w:eastAsia="Times New Roman" w:hAnsiTheme="majorHAnsi" w:cs="Arial"/>
                <w:sz w:val="20"/>
                <w:szCs w:val="20"/>
              </w:rPr>
            </w:pPr>
            <w:r w:rsidRPr="00CC4C2D">
              <w:rPr>
                <w:rFonts w:asciiTheme="majorHAnsi" w:eastAsia="Times New Roman" w:hAnsiTheme="majorHAnsi" w:cs="Arial"/>
                <w:sz w:val="20"/>
                <w:szCs w:val="20"/>
              </w:rPr>
              <w:t>3650757</w:t>
            </w:r>
          </w:p>
        </w:tc>
        <w:tc>
          <w:tcPr>
            <w:tcW w:w="1140" w:type="dxa"/>
            <w:noWrap/>
            <w:hideMark/>
          </w:tcPr>
          <w:p w14:paraId="0F1E04A9" w14:textId="77777777" w:rsidR="00AB25D8" w:rsidRPr="00CC4C2D" w:rsidRDefault="00AB25D8" w:rsidP="00AB25D8">
            <w:pPr>
              <w:jc w:val="right"/>
              <w:rPr>
                <w:rFonts w:asciiTheme="majorHAnsi" w:eastAsia="Times New Roman" w:hAnsiTheme="majorHAnsi" w:cs="Arial"/>
                <w:sz w:val="20"/>
                <w:szCs w:val="20"/>
              </w:rPr>
            </w:pPr>
            <w:r w:rsidRPr="00CC4C2D">
              <w:rPr>
                <w:rFonts w:asciiTheme="majorHAnsi" w:eastAsia="Times New Roman" w:hAnsiTheme="majorHAnsi" w:cs="Arial"/>
                <w:sz w:val="20"/>
                <w:szCs w:val="20"/>
              </w:rPr>
              <w:t>4043726</w:t>
            </w:r>
          </w:p>
        </w:tc>
      </w:tr>
      <w:tr w:rsidR="00AB25D8" w:rsidRPr="00AB25D8" w14:paraId="1C4FFF09" w14:textId="77777777" w:rsidTr="00AA33E9">
        <w:trPr>
          <w:trHeight w:val="240"/>
          <w:jc w:val="center"/>
        </w:trPr>
        <w:tc>
          <w:tcPr>
            <w:tcW w:w="2850" w:type="dxa"/>
            <w:noWrap/>
            <w:hideMark/>
          </w:tcPr>
          <w:p w14:paraId="216A430C" w14:textId="77777777" w:rsidR="00AB25D8" w:rsidRPr="00CC4C2D" w:rsidRDefault="00AB25D8" w:rsidP="00ED79A2">
            <w:pPr>
              <w:rPr>
                <w:rFonts w:asciiTheme="majorHAnsi" w:eastAsia="Times New Roman" w:hAnsiTheme="majorHAnsi" w:cs="Arial"/>
                <w:sz w:val="20"/>
                <w:szCs w:val="20"/>
                <w:lang w:val="fr-FR"/>
              </w:rPr>
            </w:pPr>
            <w:r w:rsidRPr="00CC4C2D">
              <w:rPr>
                <w:rFonts w:asciiTheme="majorHAnsi" w:eastAsia="Times New Roman" w:hAnsiTheme="majorHAnsi" w:cs="Arial"/>
                <w:sz w:val="20"/>
                <w:szCs w:val="20"/>
                <w:lang w:val="fr-FR"/>
              </w:rPr>
              <w:t>Com</w:t>
            </w:r>
            <w:r w:rsidR="00ED79A2" w:rsidRPr="00CC4C2D">
              <w:rPr>
                <w:rFonts w:asciiTheme="majorHAnsi" w:eastAsia="Times New Roman" w:hAnsiTheme="majorHAnsi" w:cs="Arial"/>
                <w:sz w:val="20"/>
                <w:szCs w:val="20"/>
                <w:lang w:val="fr-FR"/>
              </w:rPr>
              <w:t xml:space="preserve">posé </w:t>
            </w:r>
            <w:r w:rsidRPr="00CC4C2D">
              <w:rPr>
                <w:rFonts w:asciiTheme="majorHAnsi" w:eastAsia="Times New Roman" w:hAnsiTheme="majorHAnsi" w:cs="Arial"/>
                <w:sz w:val="20"/>
                <w:szCs w:val="20"/>
                <w:lang w:val="fr-FR"/>
              </w:rPr>
              <w:t xml:space="preserve"> </w:t>
            </w:r>
            <w:r w:rsidR="00C93F85" w:rsidRPr="00CC4C2D">
              <w:rPr>
                <w:rFonts w:asciiTheme="majorHAnsi" w:eastAsia="Times New Roman" w:hAnsiTheme="majorHAnsi" w:cs="Arial"/>
                <w:sz w:val="20"/>
                <w:szCs w:val="20"/>
                <w:lang w:val="fr-FR"/>
              </w:rPr>
              <w:t xml:space="preserve">de </w:t>
            </w:r>
            <w:r w:rsidRPr="00CC4C2D">
              <w:rPr>
                <w:rFonts w:asciiTheme="majorHAnsi" w:eastAsia="Times New Roman" w:hAnsiTheme="majorHAnsi" w:cs="Arial"/>
                <w:sz w:val="20"/>
                <w:szCs w:val="20"/>
                <w:lang w:val="fr-FR"/>
              </w:rPr>
              <w:t>1 pe</w:t>
            </w:r>
            <w:r w:rsidR="00ED79A2" w:rsidRPr="00CC4C2D">
              <w:rPr>
                <w:rFonts w:asciiTheme="majorHAnsi" w:eastAsia="Times New Roman" w:hAnsiTheme="majorHAnsi" w:cs="Arial"/>
                <w:sz w:val="20"/>
                <w:szCs w:val="20"/>
                <w:lang w:val="fr-FR"/>
              </w:rPr>
              <w:t>rsonne</w:t>
            </w:r>
          </w:p>
        </w:tc>
        <w:tc>
          <w:tcPr>
            <w:tcW w:w="995" w:type="dxa"/>
            <w:noWrap/>
            <w:hideMark/>
          </w:tcPr>
          <w:p w14:paraId="049AE321" w14:textId="77777777" w:rsidR="00AB25D8" w:rsidRPr="00CC4C2D" w:rsidRDefault="00AB25D8" w:rsidP="00AB25D8">
            <w:pPr>
              <w:jc w:val="right"/>
              <w:rPr>
                <w:rFonts w:asciiTheme="majorHAnsi" w:eastAsia="Times New Roman" w:hAnsiTheme="majorHAnsi" w:cs="Arial"/>
                <w:sz w:val="20"/>
                <w:szCs w:val="20"/>
              </w:rPr>
            </w:pPr>
            <w:r w:rsidRPr="00CC4C2D">
              <w:rPr>
                <w:rFonts w:asciiTheme="majorHAnsi" w:eastAsia="Times New Roman" w:hAnsiTheme="majorHAnsi" w:cs="Arial"/>
                <w:sz w:val="20"/>
                <w:szCs w:val="20"/>
              </w:rPr>
              <w:t>435864</w:t>
            </w:r>
          </w:p>
        </w:tc>
        <w:tc>
          <w:tcPr>
            <w:tcW w:w="1140" w:type="dxa"/>
            <w:noWrap/>
            <w:hideMark/>
          </w:tcPr>
          <w:p w14:paraId="45080C34" w14:textId="77777777" w:rsidR="00AB25D8" w:rsidRPr="00CC4C2D" w:rsidRDefault="00AB25D8" w:rsidP="00AB25D8">
            <w:pPr>
              <w:jc w:val="right"/>
              <w:rPr>
                <w:rFonts w:asciiTheme="majorHAnsi" w:eastAsia="Times New Roman" w:hAnsiTheme="majorHAnsi" w:cs="Arial"/>
                <w:sz w:val="20"/>
                <w:szCs w:val="20"/>
              </w:rPr>
            </w:pPr>
            <w:r w:rsidRPr="00CC4C2D">
              <w:rPr>
                <w:rFonts w:asciiTheme="majorHAnsi" w:eastAsia="Times New Roman" w:hAnsiTheme="majorHAnsi" w:cs="Arial"/>
                <w:sz w:val="20"/>
                <w:szCs w:val="20"/>
              </w:rPr>
              <w:t>631762</w:t>
            </w:r>
          </w:p>
        </w:tc>
        <w:tc>
          <w:tcPr>
            <w:tcW w:w="1140" w:type="dxa"/>
            <w:noWrap/>
            <w:hideMark/>
          </w:tcPr>
          <w:p w14:paraId="60C90EF7" w14:textId="77777777" w:rsidR="00AB25D8" w:rsidRPr="00CC4C2D" w:rsidRDefault="00AB25D8" w:rsidP="00AB25D8">
            <w:pPr>
              <w:jc w:val="right"/>
              <w:rPr>
                <w:rFonts w:asciiTheme="majorHAnsi" w:eastAsia="Times New Roman" w:hAnsiTheme="majorHAnsi" w:cs="Arial"/>
                <w:sz w:val="20"/>
                <w:szCs w:val="20"/>
              </w:rPr>
            </w:pPr>
            <w:r w:rsidRPr="00CC4C2D">
              <w:rPr>
                <w:rFonts w:asciiTheme="majorHAnsi" w:eastAsia="Times New Roman" w:hAnsiTheme="majorHAnsi" w:cs="Arial"/>
                <w:sz w:val="20"/>
                <w:szCs w:val="20"/>
              </w:rPr>
              <w:t>866827</w:t>
            </w:r>
          </w:p>
        </w:tc>
      </w:tr>
      <w:tr w:rsidR="00AB25D8" w:rsidRPr="00AB25D8" w14:paraId="2E99A7DB" w14:textId="77777777" w:rsidTr="00AA33E9">
        <w:trPr>
          <w:trHeight w:val="240"/>
          <w:jc w:val="center"/>
        </w:trPr>
        <w:tc>
          <w:tcPr>
            <w:tcW w:w="2850" w:type="dxa"/>
            <w:noWrap/>
            <w:hideMark/>
          </w:tcPr>
          <w:p w14:paraId="43F7C5ED" w14:textId="77777777" w:rsidR="00AB25D8" w:rsidRPr="00CC4C2D" w:rsidRDefault="00ED79A2" w:rsidP="00AB25D8">
            <w:pPr>
              <w:rPr>
                <w:rFonts w:asciiTheme="majorHAnsi" w:eastAsia="Times New Roman" w:hAnsiTheme="majorHAnsi" w:cs="Arial"/>
                <w:sz w:val="20"/>
                <w:szCs w:val="20"/>
                <w:lang w:val="fr-FR"/>
              </w:rPr>
            </w:pPr>
            <w:r w:rsidRPr="00CC4C2D">
              <w:rPr>
                <w:rFonts w:asciiTheme="majorHAnsi" w:eastAsia="Times New Roman" w:hAnsiTheme="majorHAnsi" w:cs="Arial"/>
                <w:sz w:val="20"/>
                <w:szCs w:val="20"/>
                <w:lang w:val="fr-FR"/>
              </w:rPr>
              <w:t xml:space="preserve">Composé </w:t>
            </w:r>
            <w:r w:rsidR="00C93F85" w:rsidRPr="00CC4C2D">
              <w:rPr>
                <w:rFonts w:asciiTheme="majorHAnsi" w:eastAsia="Times New Roman" w:hAnsiTheme="majorHAnsi" w:cs="Arial"/>
                <w:sz w:val="20"/>
                <w:szCs w:val="20"/>
                <w:lang w:val="fr-FR"/>
              </w:rPr>
              <w:t>de</w:t>
            </w:r>
            <w:r w:rsidRPr="00CC4C2D">
              <w:rPr>
                <w:rFonts w:asciiTheme="majorHAnsi" w:eastAsia="Times New Roman" w:hAnsiTheme="majorHAnsi" w:cs="Arial"/>
                <w:sz w:val="20"/>
                <w:szCs w:val="20"/>
                <w:lang w:val="fr-FR"/>
              </w:rPr>
              <w:t xml:space="preserve"> 2 personnes</w:t>
            </w:r>
          </w:p>
        </w:tc>
        <w:tc>
          <w:tcPr>
            <w:tcW w:w="995" w:type="dxa"/>
            <w:noWrap/>
            <w:hideMark/>
          </w:tcPr>
          <w:p w14:paraId="1370DDC8" w14:textId="77777777" w:rsidR="00AB25D8" w:rsidRPr="00CC4C2D" w:rsidRDefault="00AB25D8" w:rsidP="00AB25D8">
            <w:pPr>
              <w:jc w:val="right"/>
              <w:rPr>
                <w:rFonts w:asciiTheme="majorHAnsi" w:eastAsia="Times New Roman" w:hAnsiTheme="majorHAnsi" w:cs="Arial"/>
                <w:sz w:val="20"/>
                <w:szCs w:val="20"/>
              </w:rPr>
            </w:pPr>
            <w:r w:rsidRPr="00CC4C2D">
              <w:rPr>
                <w:rFonts w:asciiTheme="majorHAnsi" w:eastAsia="Times New Roman" w:hAnsiTheme="majorHAnsi" w:cs="Arial"/>
                <w:sz w:val="20"/>
                <w:szCs w:val="20"/>
              </w:rPr>
              <w:t>797770</w:t>
            </w:r>
          </w:p>
        </w:tc>
        <w:tc>
          <w:tcPr>
            <w:tcW w:w="1140" w:type="dxa"/>
            <w:noWrap/>
            <w:hideMark/>
          </w:tcPr>
          <w:p w14:paraId="6BF8FC79" w14:textId="77777777" w:rsidR="00AB25D8" w:rsidRPr="00CC4C2D" w:rsidRDefault="00AB25D8" w:rsidP="00AB25D8">
            <w:pPr>
              <w:jc w:val="right"/>
              <w:rPr>
                <w:rFonts w:asciiTheme="majorHAnsi" w:eastAsia="Times New Roman" w:hAnsiTheme="majorHAnsi" w:cs="Arial"/>
                <w:sz w:val="20"/>
                <w:szCs w:val="20"/>
              </w:rPr>
            </w:pPr>
            <w:r w:rsidRPr="00CC4C2D">
              <w:rPr>
                <w:rFonts w:asciiTheme="majorHAnsi" w:eastAsia="Times New Roman" w:hAnsiTheme="majorHAnsi" w:cs="Arial"/>
                <w:sz w:val="20"/>
                <w:szCs w:val="20"/>
              </w:rPr>
              <w:t>1036312</w:t>
            </w:r>
          </w:p>
        </w:tc>
        <w:tc>
          <w:tcPr>
            <w:tcW w:w="1140" w:type="dxa"/>
            <w:noWrap/>
            <w:hideMark/>
          </w:tcPr>
          <w:p w14:paraId="49FA9E59" w14:textId="77777777" w:rsidR="00AB25D8" w:rsidRPr="00CC4C2D" w:rsidRDefault="00AB25D8" w:rsidP="00AB25D8">
            <w:pPr>
              <w:jc w:val="right"/>
              <w:rPr>
                <w:rFonts w:asciiTheme="majorHAnsi" w:eastAsia="Times New Roman" w:hAnsiTheme="majorHAnsi" w:cs="Arial"/>
                <w:sz w:val="20"/>
                <w:szCs w:val="20"/>
              </w:rPr>
            </w:pPr>
            <w:r w:rsidRPr="00CC4C2D">
              <w:rPr>
                <w:rFonts w:asciiTheme="majorHAnsi" w:eastAsia="Times New Roman" w:hAnsiTheme="majorHAnsi" w:cs="Arial"/>
                <w:sz w:val="20"/>
                <w:szCs w:val="20"/>
              </w:rPr>
              <w:t>1277558</w:t>
            </w:r>
          </w:p>
        </w:tc>
      </w:tr>
      <w:tr w:rsidR="00AB25D8" w:rsidRPr="00AB25D8" w14:paraId="4801F9A9" w14:textId="77777777" w:rsidTr="00AA33E9">
        <w:trPr>
          <w:trHeight w:val="240"/>
          <w:jc w:val="center"/>
        </w:trPr>
        <w:tc>
          <w:tcPr>
            <w:tcW w:w="2850" w:type="dxa"/>
            <w:noWrap/>
            <w:hideMark/>
          </w:tcPr>
          <w:p w14:paraId="57C94922" w14:textId="77777777" w:rsidR="00AB25D8" w:rsidRPr="00CC4C2D" w:rsidRDefault="00ED79A2" w:rsidP="00AB25D8">
            <w:pPr>
              <w:rPr>
                <w:rFonts w:asciiTheme="majorHAnsi" w:eastAsia="Times New Roman" w:hAnsiTheme="majorHAnsi" w:cs="Arial"/>
                <w:sz w:val="20"/>
                <w:szCs w:val="20"/>
                <w:lang w:val="fr-FR"/>
              </w:rPr>
            </w:pPr>
            <w:r w:rsidRPr="00CC4C2D">
              <w:rPr>
                <w:rFonts w:asciiTheme="majorHAnsi" w:eastAsia="Times New Roman" w:hAnsiTheme="majorHAnsi" w:cs="Arial"/>
                <w:sz w:val="20"/>
                <w:szCs w:val="20"/>
                <w:lang w:val="fr-FR"/>
              </w:rPr>
              <w:t xml:space="preserve">Composé  </w:t>
            </w:r>
            <w:r w:rsidR="00C93F85" w:rsidRPr="00CC4C2D">
              <w:rPr>
                <w:rFonts w:asciiTheme="majorHAnsi" w:eastAsia="Times New Roman" w:hAnsiTheme="majorHAnsi" w:cs="Arial"/>
                <w:sz w:val="20"/>
                <w:szCs w:val="20"/>
                <w:lang w:val="fr-FR"/>
              </w:rPr>
              <w:t xml:space="preserve">de </w:t>
            </w:r>
            <w:r w:rsidRPr="00CC4C2D">
              <w:rPr>
                <w:rFonts w:asciiTheme="majorHAnsi" w:eastAsia="Times New Roman" w:hAnsiTheme="majorHAnsi" w:cs="Arial"/>
                <w:sz w:val="20"/>
                <w:szCs w:val="20"/>
                <w:lang w:val="fr-FR"/>
              </w:rPr>
              <w:t>3 personnes</w:t>
            </w:r>
          </w:p>
        </w:tc>
        <w:tc>
          <w:tcPr>
            <w:tcW w:w="995" w:type="dxa"/>
            <w:noWrap/>
            <w:hideMark/>
          </w:tcPr>
          <w:p w14:paraId="60078F9E" w14:textId="77777777" w:rsidR="00AB25D8" w:rsidRPr="00CC4C2D" w:rsidRDefault="00AB25D8" w:rsidP="00AB25D8">
            <w:pPr>
              <w:jc w:val="right"/>
              <w:rPr>
                <w:rFonts w:asciiTheme="majorHAnsi" w:eastAsia="Times New Roman" w:hAnsiTheme="majorHAnsi" w:cs="Arial"/>
                <w:sz w:val="20"/>
                <w:szCs w:val="20"/>
              </w:rPr>
            </w:pPr>
            <w:r w:rsidRPr="00CC4C2D">
              <w:rPr>
                <w:rFonts w:asciiTheme="majorHAnsi" w:eastAsia="Times New Roman" w:hAnsiTheme="majorHAnsi" w:cs="Arial"/>
                <w:sz w:val="20"/>
                <w:szCs w:val="20"/>
              </w:rPr>
              <w:t>748123</w:t>
            </w:r>
          </w:p>
        </w:tc>
        <w:tc>
          <w:tcPr>
            <w:tcW w:w="1140" w:type="dxa"/>
            <w:noWrap/>
            <w:hideMark/>
          </w:tcPr>
          <w:p w14:paraId="1D1D7A51" w14:textId="77777777" w:rsidR="00AB25D8" w:rsidRPr="00CC4C2D" w:rsidRDefault="00AB25D8" w:rsidP="00AB25D8">
            <w:pPr>
              <w:jc w:val="right"/>
              <w:rPr>
                <w:rFonts w:asciiTheme="majorHAnsi" w:eastAsia="Times New Roman" w:hAnsiTheme="majorHAnsi" w:cs="Arial"/>
                <w:sz w:val="20"/>
                <w:szCs w:val="20"/>
              </w:rPr>
            </w:pPr>
            <w:r w:rsidRPr="00CC4C2D">
              <w:rPr>
                <w:rFonts w:asciiTheme="majorHAnsi" w:eastAsia="Times New Roman" w:hAnsiTheme="majorHAnsi" w:cs="Arial"/>
                <w:sz w:val="20"/>
                <w:szCs w:val="20"/>
              </w:rPr>
              <w:t>918735</w:t>
            </w:r>
          </w:p>
        </w:tc>
        <w:tc>
          <w:tcPr>
            <w:tcW w:w="1140" w:type="dxa"/>
            <w:noWrap/>
            <w:hideMark/>
          </w:tcPr>
          <w:p w14:paraId="0EEA27B5" w14:textId="77777777" w:rsidR="00AB25D8" w:rsidRPr="00CC4C2D" w:rsidRDefault="00AB25D8" w:rsidP="00AB25D8">
            <w:pPr>
              <w:jc w:val="right"/>
              <w:rPr>
                <w:rFonts w:asciiTheme="majorHAnsi" w:eastAsia="Times New Roman" w:hAnsiTheme="majorHAnsi" w:cs="Arial"/>
                <w:sz w:val="20"/>
                <w:szCs w:val="20"/>
              </w:rPr>
            </w:pPr>
            <w:r w:rsidRPr="00CC4C2D">
              <w:rPr>
                <w:rFonts w:asciiTheme="majorHAnsi" w:eastAsia="Times New Roman" w:hAnsiTheme="majorHAnsi" w:cs="Arial"/>
                <w:sz w:val="20"/>
                <w:szCs w:val="20"/>
              </w:rPr>
              <w:t>965781</w:t>
            </w:r>
          </w:p>
        </w:tc>
      </w:tr>
      <w:tr w:rsidR="00AB25D8" w:rsidRPr="00AB25D8" w14:paraId="04A3B456" w14:textId="77777777" w:rsidTr="00AA33E9">
        <w:trPr>
          <w:trHeight w:val="240"/>
          <w:jc w:val="center"/>
        </w:trPr>
        <w:tc>
          <w:tcPr>
            <w:tcW w:w="2850" w:type="dxa"/>
            <w:noWrap/>
            <w:hideMark/>
          </w:tcPr>
          <w:p w14:paraId="0ED396FF" w14:textId="77777777" w:rsidR="00AB25D8" w:rsidRPr="00CC4C2D" w:rsidRDefault="00ED79A2" w:rsidP="00AB25D8">
            <w:pPr>
              <w:rPr>
                <w:rFonts w:asciiTheme="majorHAnsi" w:eastAsia="Times New Roman" w:hAnsiTheme="majorHAnsi" w:cs="Arial"/>
                <w:sz w:val="20"/>
                <w:szCs w:val="20"/>
                <w:lang w:val="fr-FR"/>
              </w:rPr>
            </w:pPr>
            <w:r w:rsidRPr="00CC4C2D">
              <w:rPr>
                <w:rFonts w:asciiTheme="majorHAnsi" w:eastAsia="Times New Roman" w:hAnsiTheme="majorHAnsi" w:cs="Arial"/>
                <w:sz w:val="20"/>
                <w:szCs w:val="20"/>
                <w:lang w:val="fr-FR"/>
              </w:rPr>
              <w:t xml:space="preserve">Composé  </w:t>
            </w:r>
            <w:r w:rsidR="00C93F85" w:rsidRPr="00CC4C2D">
              <w:rPr>
                <w:rFonts w:asciiTheme="majorHAnsi" w:eastAsia="Times New Roman" w:hAnsiTheme="majorHAnsi" w:cs="Arial"/>
                <w:sz w:val="20"/>
                <w:szCs w:val="20"/>
                <w:lang w:val="fr-FR"/>
              </w:rPr>
              <w:t xml:space="preserve">de </w:t>
            </w:r>
            <w:r w:rsidRPr="00CC4C2D">
              <w:rPr>
                <w:rFonts w:asciiTheme="majorHAnsi" w:eastAsia="Times New Roman" w:hAnsiTheme="majorHAnsi" w:cs="Arial"/>
                <w:sz w:val="20"/>
                <w:szCs w:val="20"/>
                <w:lang w:val="fr-FR"/>
              </w:rPr>
              <w:t>4 personnes</w:t>
            </w:r>
          </w:p>
        </w:tc>
        <w:tc>
          <w:tcPr>
            <w:tcW w:w="995" w:type="dxa"/>
            <w:noWrap/>
            <w:hideMark/>
          </w:tcPr>
          <w:p w14:paraId="66547CDE" w14:textId="77777777" w:rsidR="00AB25D8" w:rsidRPr="00CC4C2D" w:rsidRDefault="00AB25D8" w:rsidP="00AB25D8">
            <w:pPr>
              <w:jc w:val="right"/>
              <w:rPr>
                <w:rFonts w:asciiTheme="majorHAnsi" w:eastAsia="Times New Roman" w:hAnsiTheme="majorHAnsi" w:cs="Arial"/>
                <w:sz w:val="20"/>
                <w:szCs w:val="20"/>
              </w:rPr>
            </w:pPr>
            <w:r w:rsidRPr="00CC4C2D">
              <w:rPr>
                <w:rFonts w:asciiTheme="majorHAnsi" w:eastAsia="Times New Roman" w:hAnsiTheme="majorHAnsi" w:cs="Arial"/>
                <w:sz w:val="20"/>
                <w:szCs w:val="20"/>
              </w:rPr>
              <w:t>682036</w:t>
            </w:r>
          </w:p>
        </w:tc>
        <w:tc>
          <w:tcPr>
            <w:tcW w:w="1140" w:type="dxa"/>
            <w:noWrap/>
            <w:hideMark/>
          </w:tcPr>
          <w:p w14:paraId="52472E62" w14:textId="77777777" w:rsidR="00AB25D8" w:rsidRPr="00CC4C2D" w:rsidRDefault="00AB25D8" w:rsidP="00AB25D8">
            <w:pPr>
              <w:jc w:val="right"/>
              <w:rPr>
                <w:rFonts w:asciiTheme="majorHAnsi" w:eastAsia="Times New Roman" w:hAnsiTheme="majorHAnsi" w:cs="Arial"/>
                <w:sz w:val="20"/>
                <w:szCs w:val="20"/>
              </w:rPr>
            </w:pPr>
            <w:r w:rsidRPr="00CC4C2D">
              <w:rPr>
                <w:rFonts w:asciiTheme="majorHAnsi" w:eastAsia="Times New Roman" w:hAnsiTheme="majorHAnsi" w:cs="Arial"/>
                <w:sz w:val="20"/>
                <w:szCs w:val="20"/>
              </w:rPr>
              <w:t>718492</w:t>
            </w:r>
          </w:p>
        </w:tc>
        <w:tc>
          <w:tcPr>
            <w:tcW w:w="1140" w:type="dxa"/>
            <w:noWrap/>
            <w:hideMark/>
          </w:tcPr>
          <w:p w14:paraId="0FCB485C" w14:textId="77777777" w:rsidR="00AB25D8" w:rsidRPr="00CC4C2D" w:rsidRDefault="00AB25D8" w:rsidP="00AB25D8">
            <w:pPr>
              <w:jc w:val="right"/>
              <w:rPr>
                <w:rFonts w:asciiTheme="majorHAnsi" w:eastAsia="Times New Roman" w:hAnsiTheme="majorHAnsi" w:cs="Arial"/>
                <w:sz w:val="20"/>
                <w:szCs w:val="20"/>
              </w:rPr>
            </w:pPr>
            <w:r w:rsidRPr="00CC4C2D">
              <w:rPr>
                <w:rFonts w:asciiTheme="majorHAnsi" w:eastAsia="Times New Roman" w:hAnsiTheme="majorHAnsi" w:cs="Arial"/>
                <w:sz w:val="20"/>
                <w:szCs w:val="20"/>
              </w:rPr>
              <w:t>671066</w:t>
            </w:r>
          </w:p>
        </w:tc>
      </w:tr>
      <w:tr w:rsidR="00AB25D8" w:rsidRPr="00AB25D8" w14:paraId="12925CAA" w14:textId="77777777" w:rsidTr="00AA33E9">
        <w:trPr>
          <w:trHeight w:val="240"/>
          <w:jc w:val="center"/>
        </w:trPr>
        <w:tc>
          <w:tcPr>
            <w:tcW w:w="2850" w:type="dxa"/>
            <w:noWrap/>
            <w:hideMark/>
          </w:tcPr>
          <w:p w14:paraId="174A0297" w14:textId="77777777" w:rsidR="00AB25D8" w:rsidRPr="00CC4C2D" w:rsidRDefault="00ED79A2" w:rsidP="00AB25D8">
            <w:pPr>
              <w:rPr>
                <w:rFonts w:asciiTheme="majorHAnsi" w:eastAsia="Times New Roman" w:hAnsiTheme="majorHAnsi" w:cs="Arial"/>
                <w:sz w:val="20"/>
                <w:szCs w:val="20"/>
                <w:lang w:val="fr-FR"/>
              </w:rPr>
            </w:pPr>
            <w:r w:rsidRPr="00CC4C2D">
              <w:rPr>
                <w:rFonts w:asciiTheme="majorHAnsi" w:eastAsia="Times New Roman" w:hAnsiTheme="majorHAnsi" w:cs="Arial"/>
                <w:sz w:val="20"/>
                <w:szCs w:val="20"/>
                <w:lang w:val="fr-FR"/>
              </w:rPr>
              <w:t xml:space="preserve">Composé </w:t>
            </w:r>
            <w:r w:rsidR="00C93F85" w:rsidRPr="00CC4C2D">
              <w:rPr>
                <w:rFonts w:asciiTheme="majorHAnsi" w:eastAsia="Times New Roman" w:hAnsiTheme="majorHAnsi" w:cs="Arial"/>
                <w:sz w:val="20"/>
                <w:szCs w:val="20"/>
                <w:lang w:val="fr-FR"/>
              </w:rPr>
              <w:t>de</w:t>
            </w:r>
            <w:r w:rsidRPr="00CC4C2D">
              <w:rPr>
                <w:rFonts w:asciiTheme="majorHAnsi" w:eastAsia="Times New Roman" w:hAnsiTheme="majorHAnsi" w:cs="Arial"/>
                <w:sz w:val="20"/>
                <w:szCs w:val="20"/>
                <w:lang w:val="fr-FR"/>
              </w:rPr>
              <w:t xml:space="preserve"> 5 personnes</w:t>
            </w:r>
          </w:p>
        </w:tc>
        <w:tc>
          <w:tcPr>
            <w:tcW w:w="995" w:type="dxa"/>
            <w:noWrap/>
            <w:hideMark/>
          </w:tcPr>
          <w:p w14:paraId="0D5208F1" w14:textId="77777777" w:rsidR="00AB25D8" w:rsidRPr="00CC4C2D" w:rsidRDefault="00AB25D8" w:rsidP="00AB25D8">
            <w:pPr>
              <w:jc w:val="right"/>
              <w:rPr>
                <w:rFonts w:asciiTheme="majorHAnsi" w:eastAsia="Times New Roman" w:hAnsiTheme="majorHAnsi" w:cs="Arial"/>
                <w:sz w:val="20"/>
                <w:szCs w:val="20"/>
              </w:rPr>
            </w:pPr>
            <w:r w:rsidRPr="00CC4C2D">
              <w:rPr>
                <w:rFonts w:asciiTheme="majorHAnsi" w:eastAsia="Times New Roman" w:hAnsiTheme="majorHAnsi" w:cs="Arial"/>
                <w:sz w:val="20"/>
                <w:szCs w:val="20"/>
              </w:rPr>
              <w:t>276056</w:t>
            </w:r>
          </w:p>
        </w:tc>
        <w:tc>
          <w:tcPr>
            <w:tcW w:w="1140" w:type="dxa"/>
            <w:noWrap/>
            <w:hideMark/>
          </w:tcPr>
          <w:p w14:paraId="1F2DADDD" w14:textId="77777777" w:rsidR="00AB25D8" w:rsidRPr="00CC4C2D" w:rsidRDefault="00AB25D8" w:rsidP="00AB25D8">
            <w:pPr>
              <w:jc w:val="right"/>
              <w:rPr>
                <w:rFonts w:asciiTheme="majorHAnsi" w:eastAsia="Times New Roman" w:hAnsiTheme="majorHAnsi" w:cs="Arial"/>
                <w:sz w:val="20"/>
                <w:szCs w:val="20"/>
              </w:rPr>
            </w:pPr>
            <w:r w:rsidRPr="00CC4C2D">
              <w:rPr>
                <w:rFonts w:asciiTheme="majorHAnsi" w:eastAsia="Times New Roman" w:hAnsiTheme="majorHAnsi" w:cs="Arial"/>
                <w:sz w:val="20"/>
                <w:szCs w:val="20"/>
              </w:rPr>
              <w:t>226234</w:t>
            </w:r>
          </w:p>
        </w:tc>
        <w:tc>
          <w:tcPr>
            <w:tcW w:w="1140" w:type="dxa"/>
            <w:noWrap/>
            <w:hideMark/>
          </w:tcPr>
          <w:p w14:paraId="3673C67C" w14:textId="77777777" w:rsidR="00AB25D8" w:rsidRPr="00CC4C2D" w:rsidRDefault="00AB25D8" w:rsidP="00AB25D8">
            <w:pPr>
              <w:jc w:val="right"/>
              <w:rPr>
                <w:rFonts w:asciiTheme="majorHAnsi" w:eastAsia="Times New Roman" w:hAnsiTheme="majorHAnsi" w:cs="Arial"/>
                <w:sz w:val="20"/>
                <w:szCs w:val="20"/>
              </w:rPr>
            </w:pPr>
            <w:r w:rsidRPr="00CC4C2D">
              <w:rPr>
                <w:rFonts w:asciiTheme="majorHAnsi" w:eastAsia="Times New Roman" w:hAnsiTheme="majorHAnsi" w:cs="Arial"/>
                <w:sz w:val="20"/>
                <w:szCs w:val="20"/>
              </w:rPr>
              <w:t>182028</w:t>
            </w:r>
          </w:p>
        </w:tc>
      </w:tr>
    </w:tbl>
    <w:p w14:paraId="13F9A287" w14:textId="77777777" w:rsidR="00937D06" w:rsidRPr="00CC4C2D" w:rsidRDefault="00ED79A2" w:rsidP="00CC4C2D">
      <w:pPr>
        <w:ind w:left="720" w:firstLine="720"/>
        <w:jc w:val="both"/>
        <w:rPr>
          <w:rFonts w:asciiTheme="majorHAnsi" w:hAnsiTheme="majorHAnsi"/>
          <w:sz w:val="20"/>
          <w:szCs w:val="20"/>
          <w:lang w:val="fr-FR"/>
        </w:rPr>
      </w:pPr>
      <w:r w:rsidRPr="00CC4C2D">
        <w:rPr>
          <w:rFonts w:asciiTheme="majorHAnsi" w:hAnsiTheme="majorHAnsi"/>
          <w:sz w:val="20"/>
          <w:szCs w:val="20"/>
          <w:lang w:val="fr-FR"/>
        </w:rPr>
        <w:t>Source</w:t>
      </w:r>
      <w:r w:rsidR="00E64111" w:rsidRPr="00CC4C2D">
        <w:rPr>
          <w:rFonts w:asciiTheme="majorHAnsi" w:hAnsiTheme="majorHAnsi"/>
          <w:sz w:val="20"/>
          <w:szCs w:val="20"/>
          <w:lang w:val="fr-FR"/>
        </w:rPr>
        <w:t>: INE Recensement d</w:t>
      </w:r>
      <w:r w:rsidRPr="00CC4C2D">
        <w:rPr>
          <w:rFonts w:asciiTheme="majorHAnsi" w:hAnsiTheme="majorHAnsi"/>
          <w:sz w:val="20"/>
          <w:szCs w:val="20"/>
          <w:lang w:val="fr-FR"/>
        </w:rPr>
        <w:t>e l</w:t>
      </w:r>
      <w:r w:rsidR="00E64111" w:rsidRPr="00CC4C2D">
        <w:rPr>
          <w:rFonts w:asciiTheme="majorHAnsi" w:hAnsiTheme="majorHAnsi"/>
          <w:sz w:val="20"/>
          <w:szCs w:val="20"/>
          <w:lang w:val="fr-FR"/>
        </w:rPr>
        <w:t>a Popula</w:t>
      </w:r>
      <w:r w:rsidRPr="00CC4C2D">
        <w:rPr>
          <w:rFonts w:asciiTheme="majorHAnsi" w:hAnsiTheme="majorHAnsi"/>
          <w:sz w:val="20"/>
          <w:szCs w:val="20"/>
          <w:lang w:val="fr-FR"/>
        </w:rPr>
        <w:t>tion</w:t>
      </w:r>
    </w:p>
    <w:p w14:paraId="6ADCD46E" w14:textId="77777777" w:rsidR="00937D06" w:rsidRPr="00ED79A2" w:rsidRDefault="00937D06" w:rsidP="004C5A34">
      <w:pPr>
        <w:jc w:val="both"/>
        <w:rPr>
          <w:rFonts w:asciiTheme="majorHAnsi" w:hAnsiTheme="majorHAnsi"/>
          <w:lang w:val="fr-FR"/>
        </w:rPr>
      </w:pPr>
    </w:p>
    <w:p w14:paraId="6F2EF2FD" w14:textId="45EF20D4" w:rsidR="00EB4E4E" w:rsidRPr="00AD31DB" w:rsidRDefault="00AF7450" w:rsidP="00AD31DB">
      <w:pPr>
        <w:jc w:val="both"/>
        <w:rPr>
          <w:rFonts w:asciiTheme="majorHAnsi" w:hAnsiTheme="majorHAnsi"/>
          <w:lang w:val="fr-FR"/>
        </w:rPr>
      </w:pPr>
      <w:r w:rsidRPr="00EB4E4E">
        <w:rPr>
          <w:rFonts w:asciiTheme="majorHAnsi" w:hAnsiTheme="majorHAnsi"/>
          <w:lang w:val="fr-FR"/>
        </w:rPr>
        <w:t xml:space="preserve">Quant à </w:t>
      </w:r>
      <w:r w:rsidR="00DB067B" w:rsidRPr="00EB4E4E">
        <w:rPr>
          <w:rFonts w:asciiTheme="majorHAnsi" w:hAnsiTheme="majorHAnsi"/>
          <w:lang w:val="fr-FR"/>
        </w:rPr>
        <w:t xml:space="preserve">la </w:t>
      </w:r>
      <w:r w:rsidRPr="00EB4E4E">
        <w:rPr>
          <w:rFonts w:asciiTheme="majorHAnsi" w:hAnsiTheme="majorHAnsi"/>
          <w:lang w:val="fr-FR"/>
        </w:rPr>
        <w:t>distribu</w:t>
      </w:r>
      <w:r w:rsidR="000C7649" w:rsidRPr="00EB4E4E">
        <w:rPr>
          <w:rFonts w:asciiTheme="majorHAnsi" w:hAnsiTheme="majorHAnsi"/>
          <w:lang w:val="fr-FR"/>
        </w:rPr>
        <w:t xml:space="preserve">tion sur le territoire on constate une plus grande concentration de familles dans les municipalités </w:t>
      </w:r>
      <w:r w:rsidR="00EB4E4E">
        <w:rPr>
          <w:rFonts w:asciiTheme="majorHAnsi" w:hAnsiTheme="majorHAnsi"/>
          <w:lang w:val="fr-FR"/>
        </w:rPr>
        <w:t xml:space="preserve">tout </w:t>
      </w:r>
      <w:r w:rsidR="00C93F85">
        <w:rPr>
          <w:rFonts w:asciiTheme="majorHAnsi" w:hAnsiTheme="majorHAnsi"/>
          <w:lang w:val="fr-FR"/>
        </w:rPr>
        <w:t>au long de la cô</w:t>
      </w:r>
      <w:r w:rsidR="00EB4E4E" w:rsidRPr="00EB4E4E">
        <w:rPr>
          <w:rFonts w:asciiTheme="majorHAnsi" w:hAnsiTheme="majorHAnsi"/>
          <w:lang w:val="fr-FR"/>
        </w:rPr>
        <w:t>te</w:t>
      </w:r>
      <w:r w:rsidR="009A652C">
        <w:rPr>
          <w:rFonts w:asciiTheme="majorHAnsi" w:hAnsiTheme="majorHAnsi"/>
          <w:lang w:val="fr-FR"/>
        </w:rPr>
        <w:t xml:space="preserve"> et </w:t>
      </w:r>
      <w:r w:rsidR="00EB4E4E">
        <w:rPr>
          <w:rFonts w:asciiTheme="majorHAnsi" w:hAnsiTheme="majorHAnsi"/>
          <w:lang w:val="fr-FR"/>
        </w:rPr>
        <w:t>dans l’intérieur</w:t>
      </w:r>
      <w:r w:rsidR="00EB4E4E" w:rsidRPr="00EB4E4E">
        <w:rPr>
          <w:rFonts w:asciiTheme="majorHAnsi" w:hAnsiTheme="majorHAnsi"/>
          <w:lang w:val="fr-FR"/>
        </w:rPr>
        <w:t xml:space="preserve"> </w:t>
      </w:r>
      <w:r w:rsidR="00EB4E4E">
        <w:rPr>
          <w:rFonts w:asciiTheme="majorHAnsi" w:hAnsiTheme="majorHAnsi"/>
          <w:lang w:val="fr-FR"/>
        </w:rPr>
        <w:t>d’une</w:t>
      </w:r>
      <w:r w:rsidR="00C93F85">
        <w:rPr>
          <w:rFonts w:asciiTheme="majorHAnsi" w:hAnsiTheme="majorHAnsi"/>
          <w:lang w:val="fr-FR"/>
        </w:rPr>
        <w:t xml:space="preserve"> façon délimitée dans les communes</w:t>
      </w:r>
      <w:r w:rsidR="00EB4E4E" w:rsidRPr="00EB4E4E">
        <w:rPr>
          <w:rFonts w:asciiTheme="majorHAnsi" w:hAnsiTheme="majorHAnsi"/>
          <w:lang w:val="fr-FR"/>
        </w:rPr>
        <w:t xml:space="preserve"> ayant des fonctions administrat</w:t>
      </w:r>
      <w:r w:rsidR="00EB4E4E">
        <w:rPr>
          <w:rFonts w:asciiTheme="majorHAnsi" w:hAnsiTheme="majorHAnsi"/>
          <w:lang w:val="fr-FR"/>
        </w:rPr>
        <w:t>i</w:t>
      </w:r>
      <w:r w:rsidR="00EB4E4E" w:rsidRPr="00EB4E4E">
        <w:rPr>
          <w:rFonts w:asciiTheme="majorHAnsi" w:hAnsiTheme="majorHAnsi"/>
          <w:lang w:val="fr-FR"/>
        </w:rPr>
        <w:t>ves</w:t>
      </w:r>
      <w:r w:rsidR="00EB4E4E">
        <w:rPr>
          <w:rFonts w:asciiTheme="majorHAnsi" w:hAnsiTheme="majorHAnsi"/>
          <w:lang w:val="fr-FR"/>
        </w:rPr>
        <w:t xml:space="preserve"> et de services.</w:t>
      </w:r>
    </w:p>
    <w:p w14:paraId="772CBE4E" w14:textId="77777777" w:rsidR="00EB4E4E" w:rsidRPr="00E12568" w:rsidRDefault="00EB4E4E" w:rsidP="00EB4E4E">
      <w:pPr>
        <w:rPr>
          <w:lang w:val="fr-FR"/>
        </w:rPr>
      </w:pPr>
    </w:p>
    <w:p w14:paraId="0A8DB3D8" w14:textId="77777777" w:rsidR="00EB4E4E" w:rsidRPr="00CC4C2D" w:rsidRDefault="00EB4E4E" w:rsidP="00EB4E4E">
      <w:pPr>
        <w:rPr>
          <w:lang w:val="fr-FR"/>
        </w:rPr>
      </w:pPr>
    </w:p>
    <w:p w14:paraId="79392288" w14:textId="77777777" w:rsidR="00A42441" w:rsidRPr="00CC4C2D" w:rsidRDefault="00D7419C" w:rsidP="00D7419C">
      <w:pPr>
        <w:pStyle w:val="Caption"/>
        <w:rPr>
          <w:rFonts w:asciiTheme="majorHAnsi" w:hAnsiTheme="majorHAnsi"/>
          <w:b w:val="0"/>
          <w:color w:val="auto"/>
          <w:lang w:val="fr-FR"/>
        </w:rPr>
      </w:pPr>
      <w:r w:rsidRPr="00CC4C2D">
        <w:rPr>
          <w:b w:val="0"/>
          <w:color w:val="auto"/>
          <w:lang w:val="fr-FR"/>
        </w:rPr>
        <w:t xml:space="preserve">Cartogramme nº </w:t>
      </w:r>
      <w:r w:rsidR="00006281" w:rsidRPr="00CC4C2D">
        <w:rPr>
          <w:b w:val="0"/>
          <w:color w:val="auto"/>
        </w:rPr>
        <w:fldChar w:fldCharType="begin"/>
      </w:r>
      <w:r w:rsidR="00907FE2" w:rsidRPr="00CC4C2D">
        <w:rPr>
          <w:b w:val="0"/>
          <w:color w:val="auto"/>
          <w:lang w:val="fr-FR"/>
        </w:rPr>
        <w:instrText xml:space="preserve"> SEQ Cartogramme_nº \* ARABIC </w:instrText>
      </w:r>
      <w:r w:rsidR="00006281" w:rsidRPr="00CC4C2D">
        <w:rPr>
          <w:b w:val="0"/>
          <w:color w:val="auto"/>
        </w:rPr>
        <w:fldChar w:fldCharType="separate"/>
      </w:r>
      <w:r w:rsidR="00791798" w:rsidRPr="00CC4C2D">
        <w:rPr>
          <w:b w:val="0"/>
          <w:noProof/>
          <w:color w:val="auto"/>
          <w:lang w:val="fr-FR"/>
        </w:rPr>
        <w:t>1</w:t>
      </w:r>
      <w:r w:rsidR="00006281" w:rsidRPr="00CC4C2D">
        <w:rPr>
          <w:b w:val="0"/>
          <w:noProof/>
          <w:color w:val="auto"/>
        </w:rPr>
        <w:fldChar w:fldCharType="end"/>
      </w:r>
      <w:r w:rsidR="00CC4C2D" w:rsidRPr="00CC4C2D">
        <w:rPr>
          <w:b w:val="0"/>
          <w:noProof/>
          <w:color w:val="auto"/>
        </w:rPr>
        <w:t xml:space="preserve"> </w:t>
      </w:r>
      <w:r w:rsidR="00F3647D" w:rsidRPr="00CC4C2D">
        <w:rPr>
          <w:rFonts w:asciiTheme="majorHAnsi" w:hAnsiTheme="majorHAnsi"/>
          <w:b w:val="0"/>
          <w:color w:val="auto"/>
          <w:lang w:val="fr-FR"/>
        </w:rPr>
        <w:t>Fam</w:t>
      </w:r>
      <w:r w:rsidR="00C93F85" w:rsidRPr="00CC4C2D">
        <w:rPr>
          <w:rFonts w:asciiTheme="majorHAnsi" w:hAnsiTheme="majorHAnsi"/>
          <w:b w:val="0"/>
          <w:color w:val="auto"/>
          <w:lang w:val="fr-FR"/>
        </w:rPr>
        <w:t>illes cla</w:t>
      </w:r>
      <w:r w:rsidR="00F3647D" w:rsidRPr="00CC4C2D">
        <w:rPr>
          <w:rFonts w:asciiTheme="majorHAnsi" w:hAnsiTheme="majorHAnsi"/>
          <w:b w:val="0"/>
          <w:color w:val="auto"/>
          <w:lang w:val="fr-FR"/>
        </w:rPr>
        <w:t>ssi</w:t>
      </w:r>
      <w:r w:rsidR="00C93F85" w:rsidRPr="00CC4C2D">
        <w:rPr>
          <w:rFonts w:asciiTheme="majorHAnsi" w:hAnsiTheme="majorHAnsi"/>
          <w:b w:val="0"/>
          <w:color w:val="auto"/>
          <w:lang w:val="fr-FR"/>
        </w:rPr>
        <w:t>ques</w:t>
      </w:r>
      <w:r w:rsidR="00F3647D" w:rsidRPr="00CC4C2D">
        <w:rPr>
          <w:rFonts w:asciiTheme="majorHAnsi" w:hAnsiTheme="majorHAnsi"/>
          <w:b w:val="0"/>
          <w:color w:val="auto"/>
          <w:lang w:val="fr-FR"/>
        </w:rPr>
        <w:t xml:space="preserve"> </w:t>
      </w:r>
      <w:r w:rsidR="00C93F85" w:rsidRPr="00CC4C2D">
        <w:rPr>
          <w:rFonts w:asciiTheme="majorHAnsi" w:hAnsiTheme="majorHAnsi"/>
          <w:b w:val="0"/>
          <w:color w:val="auto"/>
          <w:lang w:val="fr-FR"/>
        </w:rPr>
        <w:t xml:space="preserve">suivant le nombre </w:t>
      </w:r>
      <w:r w:rsidR="00F3647D" w:rsidRPr="00CC4C2D">
        <w:rPr>
          <w:rFonts w:asciiTheme="majorHAnsi" w:hAnsiTheme="majorHAnsi"/>
          <w:b w:val="0"/>
          <w:color w:val="auto"/>
          <w:lang w:val="fr-FR"/>
        </w:rPr>
        <w:t>d</w:t>
      </w:r>
      <w:r w:rsidR="00C93F85" w:rsidRPr="00CC4C2D">
        <w:rPr>
          <w:rFonts w:asciiTheme="majorHAnsi" w:hAnsiTheme="majorHAnsi"/>
          <w:b w:val="0"/>
          <w:color w:val="auto"/>
          <w:lang w:val="fr-FR"/>
        </w:rPr>
        <w:t>’individus</w:t>
      </w:r>
      <w:r w:rsidR="00F3647D" w:rsidRPr="00CC4C2D">
        <w:rPr>
          <w:rFonts w:asciiTheme="majorHAnsi" w:hAnsiTheme="majorHAnsi"/>
          <w:b w:val="0"/>
          <w:color w:val="auto"/>
          <w:lang w:val="fr-FR"/>
        </w:rPr>
        <w:t xml:space="preserve"> se</w:t>
      </w:r>
      <w:r w:rsidR="00C93F85" w:rsidRPr="00CC4C2D">
        <w:rPr>
          <w:rFonts w:asciiTheme="majorHAnsi" w:hAnsiTheme="majorHAnsi"/>
          <w:b w:val="0"/>
          <w:color w:val="auto"/>
          <w:lang w:val="fr-FR"/>
        </w:rPr>
        <w:t>lon le recensement</w:t>
      </w:r>
    </w:p>
    <w:p w14:paraId="1FEEBD09" w14:textId="77777777" w:rsidR="00A42441" w:rsidRPr="00C93F85" w:rsidRDefault="00A42441" w:rsidP="004C5A34">
      <w:pPr>
        <w:jc w:val="both"/>
        <w:rPr>
          <w:rFonts w:asciiTheme="majorHAnsi" w:hAnsiTheme="majorHAnsi"/>
          <w:lang w:val="fr-FR"/>
        </w:rPr>
      </w:pPr>
    </w:p>
    <w:p w14:paraId="24D6BF0A" w14:textId="77777777" w:rsidR="00A42441" w:rsidRDefault="00F3647D" w:rsidP="004C5A34">
      <w:pPr>
        <w:jc w:val="both"/>
        <w:rPr>
          <w:rFonts w:asciiTheme="majorHAnsi" w:hAnsiTheme="majorHAnsi"/>
          <w:lang w:val="pt-BR"/>
        </w:rPr>
      </w:pPr>
      <w:r>
        <w:rPr>
          <w:rFonts w:asciiTheme="majorHAnsi" w:hAnsiTheme="majorHAnsi"/>
          <w:noProof/>
          <w:lang w:val="en-US" w:eastAsia="en-US"/>
        </w:rPr>
        <w:lastRenderedPageBreak/>
        <w:drawing>
          <wp:inline distT="0" distB="0" distL="0" distR="0" wp14:anchorId="5E630E04" wp14:editId="191D9356">
            <wp:extent cx="4114800" cy="3572663"/>
            <wp:effectExtent l="0" t="0" r="0" b="8890"/>
            <wp:docPr id="9" name="Picture 9" descr="Macintosh HD:Users:mariacristinasousagomes:Desktop:FamiliasClassicas2011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acristinasousagomes:Desktop:FamiliasClassicas2011png.png"/>
                    <pic:cNvPicPr>
                      <a:picLocks noChangeAspect="1" noChangeArrowheads="1"/>
                    </pic:cNvPicPr>
                  </pic:nvPicPr>
                  <pic:blipFill rotWithShape="1">
                    <a:blip r:embed="rId14">
                      <a:extLst>
                        <a:ext uri="{28A0092B-C50C-407E-A947-70E740481C1C}">
                          <a14:useLocalDpi xmlns:a14="http://schemas.microsoft.com/office/drawing/2010/main" val="0"/>
                        </a:ext>
                      </a:extLst>
                    </a:blip>
                    <a:srcRect l="-192" t="8728" b="7515"/>
                    <a:stretch/>
                  </pic:blipFill>
                  <pic:spPr bwMode="auto">
                    <a:xfrm>
                      <a:off x="0" y="0"/>
                      <a:ext cx="4117487" cy="3574996"/>
                    </a:xfrm>
                    <a:prstGeom prst="rect">
                      <a:avLst/>
                    </a:prstGeom>
                    <a:noFill/>
                    <a:ln>
                      <a:noFill/>
                    </a:ln>
                    <a:extLst>
                      <a:ext uri="{53640926-AAD7-44d8-BBD7-CCE9431645EC}">
                        <a14:shadowObscured xmlns:a14="http://schemas.microsoft.com/office/drawing/2010/main"/>
                      </a:ext>
                    </a:extLst>
                  </pic:spPr>
                </pic:pic>
              </a:graphicData>
            </a:graphic>
          </wp:inline>
        </w:drawing>
      </w:r>
    </w:p>
    <w:p w14:paraId="5D6BA205" w14:textId="77777777" w:rsidR="00F3647D" w:rsidRDefault="00F3647D" w:rsidP="004C5A34">
      <w:pPr>
        <w:jc w:val="both"/>
        <w:rPr>
          <w:rFonts w:asciiTheme="majorHAnsi" w:hAnsiTheme="majorHAnsi"/>
          <w:lang w:val="pt-BR"/>
        </w:rPr>
      </w:pPr>
    </w:p>
    <w:p w14:paraId="05338D49" w14:textId="77777777" w:rsidR="00F3647D" w:rsidRPr="00CC4C2D" w:rsidRDefault="0074778C" w:rsidP="004C5A34">
      <w:pPr>
        <w:jc w:val="both"/>
        <w:rPr>
          <w:rFonts w:asciiTheme="majorHAnsi" w:hAnsiTheme="majorHAnsi"/>
          <w:sz w:val="20"/>
          <w:szCs w:val="20"/>
          <w:lang w:val="fr-FR"/>
        </w:rPr>
      </w:pPr>
      <w:r w:rsidRPr="00CC4C2D">
        <w:rPr>
          <w:rFonts w:asciiTheme="majorHAnsi" w:hAnsiTheme="majorHAnsi"/>
          <w:sz w:val="20"/>
          <w:szCs w:val="20"/>
          <w:lang w:val="fr-FR"/>
        </w:rPr>
        <w:t>Source: INE Recensement de la Population 2</w:t>
      </w:r>
      <w:r w:rsidR="00D7419C" w:rsidRPr="00CC4C2D">
        <w:rPr>
          <w:rFonts w:asciiTheme="majorHAnsi" w:hAnsiTheme="majorHAnsi"/>
          <w:sz w:val="20"/>
          <w:szCs w:val="20"/>
          <w:lang w:val="fr-FR"/>
        </w:rPr>
        <w:t>011</w:t>
      </w:r>
    </w:p>
    <w:p w14:paraId="25BFD97A" w14:textId="77777777" w:rsidR="00C93F85" w:rsidRPr="00CC4C2D" w:rsidRDefault="00C93F85" w:rsidP="004C5A34">
      <w:pPr>
        <w:jc w:val="both"/>
        <w:rPr>
          <w:rFonts w:asciiTheme="majorHAnsi" w:hAnsiTheme="majorHAnsi"/>
          <w:sz w:val="16"/>
          <w:szCs w:val="16"/>
          <w:lang w:val="fr-FR"/>
        </w:rPr>
      </w:pPr>
      <w:r w:rsidRPr="00CC4C2D">
        <w:rPr>
          <w:rFonts w:asciiTheme="majorHAnsi" w:hAnsiTheme="majorHAnsi"/>
          <w:sz w:val="16"/>
          <w:szCs w:val="16"/>
          <w:lang w:val="fr-FR"/>
        </w:rPr>
        <w:t>(Indicateur 1 –Famille – sans données)</w:t>
      </w:r>
    </w:p>
    <w:p w14:paraId="4C06DA63" w14:textId="77777777" w:rsidR="00F3647D" w:rsidRPr="0074778C" w:rsidRDefault="00F3647D" w:rsidP="004C5A34">
      <w:pPr>
        <w:jc w:val="both"/>
        <w:rPr>
          <w:rFonts w:asciiTheme="majorHAnsi" w:hAnsiTheme="majorHAnsi"/>
          <w:lang w:val="fr-FR"/>
        </w:rPr>
      </w:pPr>
    </w:p>
    <w:p w14:paraId="3DF4E33A" w14:textId="77777777" w:rsidR="00F3647D" w:rsidRPr="0074778C" w:rsidRDefault="00F3647D" w:rsidP="004C5A34">
      <w:pPr>
        <w:jc w:val="both"/>
        <w:rPr>
          <w:rFonts w:asciiTheme="majorHAnsi" w:hAnsiTheme="majorHAnsi"/>
          <w:lang w:val="fr-FR"/>
        </w:rPr>
      </w:pPr>
    </w:p>
    <w:p w14:paraId="76BE0B0C" w14:textId="77777777" w:rsidR="000D168D" w:rsidRPr="0074778C" w:rsidRDefault="000D168D" w:rsidP="004C5A34">
      <w:pPr>
        <w:jc w:val="both"/>
        <w:rPr>
          <w:rFonts w:asciiTheme="majorHAnsi" w:hAnsiTheme="majorHAnsi"/>
          <w:lang w:val="fr-FR"/>
        </w:rPr>
      </w:pPr>
    </w:p>
    <w:p w14:paraId="73BAC989" w14:textId="77777777" w:rsidR="000D168D" w:rsidRPr="00CC4C2D" w:rsidRDefault="000D168D" w:rsidP="000D168D">
      <w:pPr>
        <w:pStyle w:val="Caption"/>
        <w:rPr>
          <w:rFonts w:asciiTheme="majorHAnsi" w:hAnsiTheme="majorHAnsi"/>
          <w:b w:val="0"/>
          <w:color w:val="auto"/>
          <w:lang w:val="fr-FR"/>
        </w:rPr>
      </w:pPr>
      <w:r w:rsidRPr="00CC4C2D">
        <w:rPr>
          <w:b w:val="0"/>
          <w:color w:val="auto"/>
          <w:lang w:val="fr-FR"/>
        </w:rPr>
        <w:t xml:space="preserve">Cartogramme nº </w:t>
      </w:r>
      <w:r w:rsidR="00006281" w:rsidRPr="00CC4C2D">
        <w:rPr>
          <w:b w:val="0"/>
          <w:color w:val="auto"/>
        </w:rPr>
        <w:fldChar w:fldCharType="begin"/>
      </w:r>
      <w:r w:rsidR="00907FE2" w:rsidRPr="00CC4C2D">
        <w:rPr>
          <w:b w:val="0"/>
          <w:color w:val="auto"/>
          <w:lang w:val="fr-FR"/>
        </w:rPr>
        <w:instrText xml:space="preserve"> SEQ Cartogramme_nº \* ARABIC </w:instrText>
      </w:r>
      <w:r w:rsidR="00006281" w:rsidRPr="00CC4C2D">
        <w:rPr>
          <w:b w:val="0"/>
          <w:color w:val="auto"/>
        </w:rPr>
        <w:fldChar w:fldCharType="separate"/>
      </w:r>
      <w:r w:rsidR="00791798" w:rsidRPr="00CC4C2D">
        <w:rPr>
          <w:b w:val="0"/>
          <w:noProof/>
          <w:color w:val="auto"/>
          <w:lang w:val="fr-FR"/>
        </w:rPr>
        <w:t>2</w:t>
      </w:r>
      <w:r w:rsidR="00006281" w:rsidRPr="00CC4C2D">
        <w:rPr>
          <w:b w:val="0"/>
          <w:noProof/>
          <w:color w:val="auto"/>
        </w:rPr>
        <w:fldChar w:fldCharType="end"/>
      </w:r>
      <w:r w:rsidRPr="00CC4C2D">
        <w:rPr>
          <w:b w:val="0"/>
          <w:color w:val="auto"/>
          <w:lang w:val="fr-FR"/>
        </w:rPr>
        <w:t xml:space="preserve"> Dimen</w:t>
      </w:r>
      <w:r w:rsidR="00EB4E4E" w:rsidRPr="00CC4C2D">
        <w:rPr>
          <w:b w:val="0"/>
          <w:color w:val="auto"/>
          <w:lang w:val="fr-FR"/>
        </w:rPr>
        <w:t>sion moyenne</w:t>
      </w:r>
      <w:r w:rsidRPr="00CC4C2D">
        <w:rPr>
          <w:b w:val="0"/>
          <w:color w:val="auto"/>
          <w:lang w:val="fr-FR"/>
        </w:rPr>
        <w:t xml:space="preserve"> d</w:t>
      </w:r>
      <w:r w:rsidR="00EB4E4E" w:rsidRPr="00CC4C2D">
        <w:rPr>
          <w:b w:val="0"/>
          <w:color w:val="auto"/>
          <w:lang w:val="fr-FR"/>
        </w:rPr>
        <w:t>e</w:t>
      </w:r>
      <w:r w:rsidRPr="00CC4C2D">
        <w:rPr>
          <w:b w:val="0"/>
          <w:color w:val="auto"/>
          <w:lang w:val="fr-FR"/>
        </w:rPr>
        <w:t>s fam</w:t>
      </w:r>
      <w:r w:rsidR="00EB4E4E" w:rsidRPr="00CC4C2D">
        <w:rPr>
          <w:b w:val="0"/>
          <w:color w:val="auto"/>
          <w:lang w:val="fr-FR"/>
        </w:rPr>
        <w:t>illes</w:t>
      </w:r>
    </w:p>
    <w:p w14:paraId="5FD28879" w14:textId="77777777" w:rsidR="00AA33E9" w:rsidRPr="00AA33E9" w:rsidRDefault="00AA33E9" w:rsidP="00AA33E9">
      <w:pPr>
        <w:jc w:val="both"/>
        <w:rPr>
          <w:rFonts w:asciiTheme="majorHAnsi" w:hAnsiTheme="majorHAnsi"/>
          <w:lang w:val="fr-FR"/>
        </w:rPr>
      </w:pPr>
      <w:r w:rsidRPr="00CC4C2D">
        <w:rPr>
          <w:rFonts w:asciiTheme="majorHAnsi" w:hAnsiTheme="majorHAnsi"/>
          <w:noProof/>
          <w:sz w:val="20"/>
          <w:szCs w:val="20"/>
          <w:lang w:val="en-US" w:eastAsia="en-US"/>
        </w:rPr>
        <w:drawing>
          <wp:anchor distT="0" distB="0" distL="114300" distR="114300" simplePos="0" relativeHeight="251658240" behindDoc="0" locked="0" layoutInCell="1" allowOverlap="1" wp14:anchorId="1EAA0297" wp14:editId="7B32251B">
            <wp:simplePos x="0" y="0"/>
            <wp:positionH relativeFrom="column">
              <wp:align>left</wp:align>
            </wp:positionH>
            <wp:positionV relativeFrom="paragraph">
              <wp:align>top</wp:align>
            </wp:positionV>
            <wp:extent cx="4114800" cy="3577590"/>
            <wp:effectExtent l="0" t="0" r="0" b="3810"/>
            <wp:wrapSquare wrapText="bothSides"/>
            <wp:docPr id="10" name="Picture 10" descr="Macintosh HD:Users:mariacristinasousagomes:Desktop:DimensaoMédia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iacristinasousagomes:Desktop:DimensaoMédia2011.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579" t="7992" b="7807"/>
                    <a:stretch/>
                  </pic:blipFill>
                  <pic:spPr bwMode="auto">
                    <a:xfrm>
                      <a:off x="0" y="0"/>
                      <a:ext cx="4116636" cy="357934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C4C2D" w:rsidRPr="00CC4C2D">
        <w:rPr>
          <w:rFonts w:asciiTheme="majorHAnsi" w:hAnsiTheme="majorHAnsi"/>
          <w:sz w:val="16"/>
          <w:szCs w:val="16"/>
          <w:lang w:val="fr-FR"/>
        </w:rPr>
        <w:br w:type="textWrapping" w:clear="all"/>
      </w:r>
      <w:r w:rsidRPr="00CC4C2D">
        <w:rPr>
          <w:rFonts w:asciiTheme="majorHAnsi" w:hAnsiTheme="majorHAnsi"/>
          <w:sz w:val="20"/>
          <w:szCs w:val="20"/>
          <w:lang w:val="fr-FR"/>
        </w:rPr>
        <w:t>Source: INE Recensement de la Population 2011</w:t>
      </w:r>
    </w:p>
    <w:p w14:paraId="2ACA85F7" w14:textId="77777777" w:rsidR="000D168D" w:rsidRPr="00CC4C2D" w:rsidRDefault="00AA33E9" w:rsidP="00AA33E9">
      <w:pPr>
        <w:rPr>
          <w:rFonts w:asciiTheme="majorHAnsi" w:hAnsiTheme="majorHAnsi"/>
          <w:sz w:val="16"/>
          <w:szCs w:val="16"/>
          <w:lang w:val="fr-FR"/>
        </w:rPr>
      </w:pPr>
      <w:r w:rsidRPr="00CC4C2D">
        <w:rPr>
          <w:rFonts w:asciiTheme="majorHAnsi" w:hAnsiTheme="majorHAnsi"/>
          <w:sz w:val="16"/>
          <w:szCs w:val="16"/>
          <w:lang w:val="fr-FR"/>
        </w:rPr>
        <w:t>(Indicateur 1 – Individu – Moyenne – Sans données)</w:t>
      </w:r>
    </w:p>
    <w:p w14:paraId="70A1AD78" w14:textId="01CB4BE5" w:rsidR="00B750A9" w:rsidRPr="00E127C0" w:rsidRDefault="00060D05" w:rsidP="004C5A34">
      <w:pPr>
        <w:jc w:val="both"/>
        <w:rPr>
          <w:rFonts w:asciiTheme="majorHAnsi" w:hAnsiTheme="majorHAnsi"/>
          <w:lang w:val="fr-FR"/>
        </w:rPr>
      </w:pPr>
      <w:r w:rsidRPr="00060D05">
        <w:rPr>
          <w:rFonts w:asciiTheme="majorHAnsi" w:hAnsiTheme="majorHAnsi"/>
          <w:lang w:val="fr-FR"/>
        </w:rPr>
        <w:lastRenderedPageBreak/>
        <w:t xml:space="preserve">La </w:t>
      </w:r>
      <w:r w:rsidR="00A831CF">
        <w:rPr>
          <w:rFonts w:asciiTheme="majorHAnsi" w:hAnsiTheme="majorHAnsi"/>
          <w:lang w:val="fr-FR"/>
        </w:rPr>
        <w:t>taille</w:t>
      </w:r>
      <w:r w:rsidRPr="00060D05">
        <w:rPr>
          <w:rFonts w:asciiTheme="majorHAnsi" w:hAnsiTheme="majorHAnsi"/>
          <w:lang w:val="fr-FR"/>
        </w:rPr>
        <w:t xml:space="preserve"> moyenne des </w:t>
      </w:r>
      <w:r w:rsidR="00A831CF">
        <w:rPr>
          <w:rFonts w:asciiTheme="majorHAnsi" w:hAnsiTheme="majorHAnsi"/>
          <w:lang w:val="fr-FR"/>
        </w:rPr>
        <w:t>famill</w:t>
      </w:r>
      <w:r w:rsidRPr="00060D05">
        <w:rPr>
          <w:rFonts w:asciiTheme="majorHAnsi" w:hAnsiTheme="majorHAnsi"/>
          <w:lang w:val="fr-FR"/>
        </w:rPr>
        <w:t>es est plus im</w:t>
      </w:r>
      <w:r w:rsidR="009A652C">
        <w:rPr>
          <w:rFonts w:asciiTheme="majorHAnsi" w:hAnsiTheme="majorHAnsi"/>
          <w:lang w:val="fr-FR"/>
        </w:rPr>
        <w:t xml:space="preserve">portante sur la côte </w:t>
      </w:r>
      <w:r w:rsidR="009A652C" w:rsidRPr="009A652C">
        <w:rPr>
          <w:rFonts w:asciiTheme="majorHAnsi" w:hAnsiTheme="majorHAnsi"/>
          <w:lang w:val="fr-FR"/>
        </w:rPr>
        <w:t xml:space="preserve">Nord, </w:t>
      </w:r>
      <w:r w:rsidRPr="009A652C">
        <w:rPr>
          <w:rFonts w:asciiTheme="majorHAnsi" w:hAnsiTheme="majorHAnsi"/>
          <w:lang w:val="fr-FR"/>
        </w:rPr>
        <w:t>quoiqu’elle</w:t>
      </w:r>
      <w:r w:rsidRPr="00060D05">
        <w:rPr>
          <w:rFonts w:asciiTheme="majorHAnsi" w:hAnsiTheme="majorHAnsi"/>
          <w:lang w:val="fr-FR"/>
        </w:rPr>
        <w:t xml:space="preserve"> s’étende sur toute la côte jusqu’à Lisbonne</w:t>
      </w:r>
      <w:r w:rsidR="000D168D" w:rsidRPr="00060D05">
        <w:rPr>
          <w:rFonts w:asciiTheme="majorHAnsi" w:hAnsiTheme="majorHAnsi"/>
          <w:lang w:val="fr-FR"/>
        </w:rPr>
        <w:t xml:space="preserve"> </w:t>
      </w:r>
      <w:r w:rsidR="00D807BB" w:rsidRPr="00060D05">
        <w:rPr>
          <w:rFonts w:asciiTheme="majorHAnsi" w:hAnsiTheme="majorHAnsi"/>
          <w:lang w:val="fr-FR"/>
        </w:rPr>
        <w:t>(NUTS II)</w:t>
      </w:r>
      <w:r w:rsidR="00F8127B" w:rsidRPr="00060D05">
        <w:rPr>
          <w:rFonts w:asciiTheme="majorHAnsi" w:hAnsiTheme="majorHAnsi"/>
          <w:lang w:val="fr-FR"/>
        </w:rPr>
        <w:t xml:space="preserve"> e</w:t>
      </w:r>
      <w:r>
        <w:rPr>
          <w:rFonts w:asciiTheme="majorHAnsi" w:hAnsiTheme="majorHAnsi"/>
          <w:lang w:val="fr-FR"/>
        </w:rPr>
        <w:t>t</w:t>
      </w:r>
      <w:r w:rsidR="00F8127B" w:rsidRPr="00060D05">
        <w:rPr>
          <w:rFonts w:asciiTheme="majorHAnsi" w:hAnsiTheme="majorHAnsi"/>
          <w:lang w:val="fr-FR"/>
        </w:rPr>
        <w:t xml:space="preserve"> </w:t>
      </w:r>
      <w:r w:rsidRPr="009A652C">
        <w:rPr>
          <w:rFonts w:asciiTheme="majorHAnsi" w:hAnsiTheme="majorHAnsi"/>
          <w:lang w:val="fr-FR"/>
        </w:rPr>
        <w:t>dans certaines</w:t>
      </w:r>
      <w:r w:rsidR="00F8127B" w:rsidRPr="009A652C">
        <w:rPr>
          <w:rFonts w:asciiTheme="majorHAnsi" w:hAnsiTheme="majorHAnsi"/>
          <w:lang w:val="fr-FR"/>
        </w:rPr>
        <w:t xml:space="preserve"> </w:t>
      </w:r>
      <w:r w:rsidRPr="009A652C">
        <w:rPr>
          <w:rFonts w:asciiTheme="majorHAnsi" w:hAnsiTheme="majorHAnsi"/>
          <w:lang w:val="fr-FR"/>
        </w:rPr>
        <w:t>municipalités</w:t>
      </w:r>
      <w:r w:rsidR="00F8127B" w:rsidRPr="009A652C">
        <w:rPr>
          <w:rFonts w:asciiTheme="majorHAnsi" w:hAnsiTheme="majorHAnsi"/>
          <w:lang w:val="fr-FR"/>
        </w:rPr>
        <w:t xml:space="preserve"> d</w:t>
      </w:r>
      <w:r w:rsidRPr="009A652C">
        <w:rPr>
          <w:rFonts w:asciiTheme="majorHAnsi" w:hAnsiTheme="majorHAnsi"/>
          <w:lang w:val="fr-FR"/>
        </w:rPr>
        <w:t>e la côte de l’Algarve</w:t>
      </w:r>
      <w:r w:rsidR="00F8127B" w:rsidRPr="009A652C">
        <w:rPr>
          <w:rFonts w:asciiTheme="majorHAnsi" w:hAnsiTheme="majorHAnsi"/>
          <w:lang w:val="fr-FR"/>
        </w:rPr>
        <w:t xml:space="preserve">. </w:t>
      </w:r>
      <w:r w:rsidR="00E127C0" w:rsidRPr="009A652C">
        <w:rPr>
          <w:rFonts w:asciiTheme="majorHAnsi" w:hAnsiTheme="majorHAnsi"/>
          <w:lang w:val="fr-FR"/>
        </w:rPr>
        <w:t>Dans l’Intérieur se démarquent certaines</w:t>
      </w:r>
      <w:r w:rsidR="00E127C0" w:rsidRPr="00E127C0">
        <w:rPr>
          <w:rFonts w:asciiTheme="majorHAnsi" w:hAnsiTheme="majorHAnsi"/>
          <w:lang w:val="fr-FR"/>
        </w:rPr>
        <w:t xml:space="preserve"> municipalités correspondant</w:t>
      </w:r>
      <w:r w:rsidR="00E127C0">
        <w:rPr>
          <w:rFonts w:asciiTheme="majorHAnsi" w:hAnsiTheme="majorHAnsi"/>
          <w:lang w:val="fr-FR"/>
        </w:rPr>
        <w:t xml:space="preserve"> aux </w:t>
      </w:r>
      <w:r w:rsidR="00E127C0" w:rsidRPr="00E127C0">
        <w:rPr>
          <w:rFonts w:asciiTheme="majorHAnsi" w:hAnsiTheme="majorHAnsi"/>
          <w:lang w:val="fr-FR"/>
        </w:rPr>
        <w:t>p</w:t>
      </w:r>
      <w:r w:rsidR="00E127C0">
        <w:rPr>
          <w:rFonts w:asciiTheme="majorHAnsi" w:hAnsiTheme="majorHAnsi"/>
          <w:lang w:val="fr-FR"/>
        </w:rPr>
        <w:t>ôles ayant des fonctions administratives et une activité économique inte</w:t>
      </w:r>
      <w:r w:rsidR="00E12568">
        <w:rPr>
          <w:rFonts w:asciiTheme="majorHAnsi" w:hAnsiTheme="majorHAnsi"/>
          <w:lang w:val="fr-FR"/>
        </w:rPr>
        <w:t xml:space="preserve">nse comme au Sud à Campo </w:t>
      </w:r>
      <w:proofErr w:type="spellStart"/>
      <w:r w:rsidR="00E12568">
        <w:rPr>
          <w:rFonts w:asciiTheme="majorHAnsi" w:hAnsiTheme="majorHAnsi"/>
          <w:lang w:val="fr-FR"/>
        </w:rPr>
        <w:t>Maior</w:t>
      </w:r>
      <w:proofErr w:type="spellEnd"/>
      <w:r w:rsidR="00F8127B" w:rsidRPr="00E127C0">
        <w:rPr>
          <w:rFonts w:asciiTheme="majorHAnsi" w:hAnsiTheme="majorHAnsi"/>
          <w:lang w:val="fr-FR"/>
        </w:rPr>
        <w:t xml:space="preserve">. </w:t>
      </w:r>
    </w:p>
    <w:p w14:paraId="0588BFF8" w14:textId="77777777" w:rsidR="00B750A9" w:rsidRPr="00E127C0" w:rsidRDefault="00B750A9" w:rsidP="004C5A34">
      <w:pPr>
        <w:jc w:val="both"/>
        <w:rPr>
          <w:rFonts w:asciiTheme="majorHAnsi" w:hAnsiTheme="majorHAnsi"/>
          <w:lang w:val="fr-FR"/>
        </w:rPr>
      </w:pPr>
    </w:p>
    <w:p w14:paraId="6A394BCE" w14:textId="77777777" w:rsidR="00CF021F" w:rsidRPr="00E127C0" w:rsidRDefault="00CF021F" w:rsidP="00EB6FC4">
      <w:pPr>
        <w:pStyle w:val="ListParagraph"/>
        <w:numPr>
          <w:ilvl w:val="0"/>
          <w:numId w:val="1"/>
        </w:numPr>
        <w:jc w:val="both"/>
        <w:rPr>
          <w:rFonts w:asciiTheme="majorHAnsi" w:hAnsiTheme="majorHAnsi"/>
          <w:lang w:val="fr-FR"/>
        </w:rPr>
      </w:pPr>
      <w:r w:rsidRPr="00E127C0">
        <w:rPr>
          <w:rFonts w:asciiTheme="majorHAnsi" w:hAnsiTheme="majorHAnsi"/>
          <w:lang w:val="fr-FR"/>
        </w:rPr>
        <w:t>Flux migrat</w:t>
      </w:r>
      <w:r w:rsidR="00E127C0" w:rsidRPr="00E127C0">
        <w:rPr>
          <w:rFonts w:asciiTheme="majorHAnsi" w:hAnsiTheme="majorHAnsi"/>
          <w:lang w:val="fr-FR"/>
        </w:rPr>
        <w:t>oires des familles</w:t>
      </w:r>
      <w:r w:rsidRPr="00E127C0">
        <w:rPr>
          <w:rFonts w:asciiTheme="majorHAnsi" w:hAnsiTheme="majorHAnsi"/>
          <w:lang w:val="fr-FR"/>
        </w:rPr>
        <w:t xml:space="preserve"> </w:t>
      </w:r>
    </w:p>
    <w:p w14:paraId="331E1F50" w14:textId="77777777" w:rsidR="00EB6FC4" w:rsidRPr="00E127C0" w:rsidRDefault="00EB6FC4" w:rsidP="00EB6FC4">
      <w:pPr>
        <w:pStyle w:val="ListParagraph"/>
        <w:jc w:val="both"/>
        <w:rPr>
          <w:rFonts w:asciiTheme="majorHAnsi" w:hAnsiTheme="majorHAnsi"/>
          <w:lang w:val="fr-FR"/>
        </w:rPr>
      </w:pPr>
    </w:p>
    <w:p w14:paraId="25A4151C" w14:textId="77777777" w:rsidR="004C5A34" w:rsidRPr="0057347E" w:rsidRDefault="000023DC" w:rsidP="004C5A34">
      <w:pPr>
        <w:jc w:val="both"/>
        <w:rPr>
          <w:rFonts w:asciiTheme="majorHAnsi" w:hAnsiTheme="majorHAnsi"/>
          <w:lang w:val="fr-FR"/>
        </w:rPr>
      </w:pPr>
      <w:r>
        <w:rPr>
          <w:rFonts w:asciiTheme="majorHAnsi" w:hAnsiTheme="majorHAnsi"/>
          <w:lang w:val="fr-FR"/>
        </w:rPr>
        <w:t>A</w:t>
      </w:r>
      <w:r w:rsidR="00A831CF" w:rsidRPr="00FE31A6">
        <w:rPr>
          <w:rFonts w:asciiTheme="majorHAnsi" w:hAnsiTheme="majorHAnsi"/>
          <w:lang w:val="fr-FR"/>
        </w:rPr>
        <w:t xml:space="preserve">u </w:t>
      </w:r>
      <w:r w:rsidR="00696751" w:rsidRPr="00FE31A6">
        <w:rPr>
          <w:rFonts w:asciiTheme="majorHAnsi" w:hAnsiTheme="majorHAnsi"/>
          <w:lang w:val="fr-FR"/>
        </w:rPr>
        <w:t>point</w:t>
      </w:r>
      <w:r w:rsidR="00C93F85">
        <w:rPr>
          <w:rFonts w:asciiTheme="majorHAnsi" w:hAnsiTheme="majorHAnsi"/>
          <w:lang w:val="fr-FR"/>
        </w:rPr>
        <w:t xml:space="preserve"> de vue de la famille</w:t>
      </w:r>
      <w:r w:rsidR="00A831CF" w:rsidRPr="00FE31A6">
        <w:rPr>
          <w:rFonts w:asciiTheme="majorHAnsi" w:hAnsiTheme="majorHAnsi"/>
          <w:lang w:val="fr-FR"/>
        </w:rPr>
        <w:t xml:space="preserve">, la mobilité </w:t>
      </w:r>
      <w:r>
        <w:rPr>
          <w:rFonts w:asciiTheme="majorHAnsi" w:hAnsiTheme="majorHAnsi"/>
          <w:lang w:val="fr-FR"/>
        </w:rPr>
        <w:t>atteint</w:t>
      </w:r>
      <w:r w:rsidR="00A831CF" w:rsidRPr="00FE31A6">
        <w:rPr>
          <w:rFonts w:asciiTheme="majorHAnsi" w:hAnsiTheme="majorHAnsi"/>
          <w:lang w:val="fr-FR"/>
        </w:rPr>
        <w:t xml:space="preserve"> de</w:t>
      </w:r>
      <w:r w:rsidR="00FE31A6" w:rsidRPr="00FE31A6">
        <w:rPr>
          <w:rFonts w:asciiTheme="majorHAnsi" w:hAnsiTheme="majorHAnsi"/>
          <w:lang w:val="fr-FR"/>
        </w:rPr>
        <w:t>s</w:t>
      </w:r>
      <w:r w:rsidR="00A831CF" w:rsidRPr="00FE31A6">
        <w:rPr>
          <w:rFonts w:asciiTheme="majorHAnsi" w:hAnsiTheme="majorHAnsi"/>
          <w:lang w:val="fr-FR"/>
        </w:rPr>
        <w:t xml:space="preserve"> valeurs expressives</w:t>
      </w:r>
      <w:r w:rsidR="00136CE4">
        <w:rPr>
          <w:rFonts w:asciiTheme="majorHAnsi" w:hAnsiTheme="majorHAnsi"/>
          <w:lang w:val="fr-FR"/>
        </w:rPr>
        <w:t xml:space="preserve">. </w:t>
      </w:r>
      <w:r w:rsidR="005E48A1">
        <w:rPr>
          <w:rFonts w:asciiTheme="majorHAnsi" w:hAnsiTheme="majorHAnsi"/>
          <w:lang w:val="fr-FR"/>
        </w:rPr>
        <w:t>E</w:t>
      </w:r>
      <w:r w:rsidR="00136CE4" w:rsidRPr="00FE31A6">
        <w:rPr>
          <w:rFonts w:asciiTheme="majorHAnsi" w:hAnsiTheme="majorHAnsi"/>
          <w:lang w:val="fr-FR"/>
        </w:rPr>
        <w:t>n 2011</w:t>
      </w:r>
      <w:r w:rsidR="00136CE4">
        <w:rPr>
          <w:rFonts w:asciiTheme="majorHAnsi" w:hAnsiTheme="majorHAnsi"/>
          <w:lang w:val="fr-FR"/>
        </w:rPr>
        <w:t xml:space="preserve">, </w:t>
      </w:r>
      <w:r w:rsidR="00C93F85">
        <w:rPr>
          <w:rFonts w:asciiTheme="majorHAnsi" w:hAnsiTheme="majorHAnsi"/>
          <w:lang w:val="fr-FR"/>
        </w:rPr>
        <w:t xml:space="preserve">sur </w:t>
      </w:r>
      <w:r w:rsidR="00FA58DF" w:rsidRPr="00FE31A6">
        <w:rPr>
          <w:rFonts w:asciiTheme="majorHAnsi" w:hAnsiTheme="majorHAnsi"/>
          <w:lang w:val="fr-FR"/>
        </w:rPr>
        <w:t>4043726 fam</w:t>
      </w:r>
      <w:r w:rsidR="00FE31A6" w:rsidRPr="00FE31A6">
        <w:rPr>
          <w:rFonts w:asciiTheme="majorHAnsi" w:hAnsiTheme="majorHAnsi"/>
          <w:lang w:val="fr-FR"/>
        </w:rPr>
        <w:t>illes</w:t>
      </w:r>
      <w:r w:rsidR="00FA58DF" w:rsidRPr="00FE31A6">
        <w:rPr>
          <w:rFonts w:asciiTheme="majorHAnsi" w:hAnsiTheme="majorHAnsi"/>
          <w:lang w:val="fr-FR"/>
        </w:rPr>
        <w:t xml:space="preserve"> </w:t>
      </w:r>
      <w:r w:rsidR="00FE31A6" w:rsidRPr="00FE31A6">
        <w:rPr>
          <w:rFonts w:asciiTheme="majorHAnsi" w:hAnsiTheme="majorHAnsi"/>
          <w:lang w:val="fr-FR"/>
        </w:rPr>
        <w:t>en</w:t>
      </w:r>
      <w:r w:rsidR="00FA58DF" w:rsidRPr="00FE31A6">
        <w:rPr>
          <w:rFonts w:asciiTheme="majorHAnsi" w:hAnsiTheme="majorHAnsi"/>
          <w:lang w:val="fr-FR"/>
        </w:rPr>
        <w:t>regist</w:t>
      </w:r>
      <w:r w:rsidR="00FE31A6" w:rsidRPr="00FE31A6">
        <w:rPr>
          <w:rFonts w:asciiTheme="majorHAnsi" w:hAnsiTheme="majorHAnsi"/>
          <w:lang w:val="fr-FR"/>
        </w:rPr>
        <w:t>rée</w:t>
      </w:r>
      <w:r w:rsidR="00FA58DF" w:rsidRPr="00FE31A6">
        <w:rPr>
          <w:rFonts w:asciiTheme="majorHAnsi" w:hAnsiTheme="majorHAnsi"/>
          <w:lang w:val="fr-FR"/>
        </w:rPr>
        <w:t xml:space="preserve">s </w:t>
      </w:r>
      <w:r w:rsidR="00FE31A6" w:rsidRPr="00FE31A6">
        <w:rPr>
          <w:rFonts w:asciiTheme="majorHAnsi" w:hAnsiTheme="majorHAnsi"/>
          <w:lang w:val="fr-FR"/>
        </w:rPr>
        <w:t>au Portugal</w:t>
      </w:r>
      <w:r w:rsidR="00FA58DF" w:rsidRPr="00FE31A6">
        <w:rPr>
          <w:rFonts w:asciiTheme="majorHAnsi" w:hAnsiTheme="majorHAnsi"/>
          <w:lang w:val="fr-FR"/>
        </w:rPr>
        <w:t xml:space="preserve">, 960128 </w:t>
      </w:r>
      <w:r w:rsidR="00FE31A6">
        <w:rPr>
          <w:rFonts w:asciiTheme="majorHAnsi" w:hAnsiTheme="majorHAnsi"/>
          <w:lang w:val="fr-FR"/>
        </w:rPr>
        <w:t>ont changé de rési</w:t>
      </w:r>
      <w:r w:rsidR="00D97267">
        <w:rPr>
          <w:rFonts w:asciiTheme="majorHAnsi" w:hAnsiTheme="majorHAnsi"/>
          <w:lang w:val="fr-FR"/>
        </w:rPr>
        <w:t xml:space="preserve">dence par rapport </w:t>
      </w:r>
      <w:r w:rsidR="00D97267" w:rsidRPr="009A652C">
        <w:rPr>
          <w:rFonts w:asciiTheme="majorHAnsi" w:hAnsiTheme="majorHAnsi"/>
          <w:lang w:val="fr-FR"/>
        </w:rPr>
        <w:t xml:space="preserve">au </w:t>
      </w:r>
      <w:r w:rsidR="00136CE4" w:rsidRPr="009A652C">
        <w:rPr>
          <w:rFonts w:asciiTheme="majorHAnsi" w:hAnsiTheme="majorHAnsi"/>
          <w:lang w:val="fr-FR"/>
        </w:rPr>
        <w:t xml:space="preserve">lieu </w:t>
      </w:r>
      <w:r w:rsidR="00D97267" w:rsidRPr="009A652C">
        <w:rPr>
          <w:rFonts w:asciiTheme="majorHAnsi" w:hAnsiTheme="majorHAnsi"/>
          <w:lang w:val="fr-FR"/>
        </w:rPr>
        <w:t>de ré</w:t>
      </w:r>
      <w:r w:rsidR="00FE31A6" w:rsidRPr="009A652C">
        <w:rPr>
          <w:rFonts w:asciiTheme="majorHAnsi" w:hAnsiTheme="majorHAnsi"/>
          <w:lang w:val="fr-FR"/>
        </w:rPr>
        <w:t>sidence</w:t>
      </w:r>
      <w:r w:rsidR="00FE31A6">
        <w:rPr>
          <w:rFonts w:asciiTheme="majorHAnsi" w:hAnsiTheme="majorHAnsi"/>
          <w:lang w:val="fr-FR"/>
        </w:rPr>
        <w:t xml:space="preserve"> en 2005</w:t>
      </w:r>
      <w:r w:rsidR="0003746F" w:rsidRPr="00FE31A6">
        <w:rPr>
          <w:rFonts w:asciiTheme="majorHAnsi" w:hAnsiTheme="majorHAnsi"/>
          <w:lang w:val="fr-FR"/>
        </w:rPr>
        <w:t xml:space="preserve">, </w:t>
      </w:r>
      <w:r w:rsidR="00FE31A6">
        <w:rPr>
          <w:rFonts w:asciiTheme="majorHAnsi" w:hAnsiTheme="majorHAnsi"/>
          <w:lang w:val="fr-FR"/>
        </w:rPr>
        <w:t>ce</w:t>
      </w:r>
      <w:r w:rsidR="00ED5CF0" w:rsidRPr="00FE31A6">
        <w:rPr>
          <w:rFonts w:asciiTheme="majorHAnsi" w:hAnsiTheme="majorHAnsi"/>
          <w:lang w:val="fr-FR"/>
        </w:rPr>
        <w:t xml:space="preserve"> qu</w:t>
      </w:r>
      <w:r w:rsidR="00FE31A6">
        <w:rPr>
          <w:rFonts w:asciiTheme="majorHAnsi" w:hAnsiTheme="majorHAnsi"/>
          <w:lang w:val="fr-FR"/>
        </w:rPr>
        <w:t>i</w:t>
      </w:r>
      <w:r w:rsidR="00ED5CF0" w:rsidRPr="00FE31A6">
        <w:rPr>
          <w:rFonts w:asciiTheme="majorHAnsi" w:hAnsiTheme="majorHAnsi"/>
          <w:lang w:val="fr-FR"/>
        </w:rPr>
        <w:t xml:space="preserve"> correspond</w:t>
      </w:r>
      <w:r w:rsidR="0003746F" w:rsidRPr="00FE31A6">
        <w:rPr>
          <w:rFonts w:asciiTheme="majorHAnsi" w:hAnsiTheme="majorHAnsi"/>
          <w:lang w:val="fr-FR"/>
        </w:rPr>
        <w:t xml:space="preserve"> </w:t>
      </w:r>
      <w:r w:rsidR="00FE31A6">
        <w:rPr>
          <w:rFonts w:asciiTheme="majorHAnsi" w:hAnsiTheme="majorHAnsi"/>
          <w:lang w:val="fr-FR"/>
        </w:rPr>
        <w:t>à</w:t>
      </w:r>
      <w:r w:rsidR="0003746F" w:rsidRPr="00FE31A6">
        <w:rPr>
          <w:rFonts w:asciiTheme="majorHAnsi" w:hAnsiTheme="majorHAnsi"/>
          <w:lang w:val="fr-FR"/>
        </w:rPr>
        <w:t xml:space="preserve"> 23,7% d</w:t>
      </w:r>
      <w:r w:rsidR="00FE31A6">
        <w:rPr>
          <w:rFonts w:asciiTheme="majorHAnsi" w:hAnsiTheme="majorHAnsi"/>
          <w:lang w:val="fr-FR"/>
        </w:rPr>
        <w:t>u</w:t>
      </w:r>
      <w:r w:rsidR="0003746F" w:rsidRPr="00FE31A6">
        <w:rPr>
          <w:rFonts w:asciiTheme="majorHAnsi" w:hAnsiTheme="majorHAnsi"/>
          <w:lang w:val="fr-FR"/>
        </w:rPr>
        <w:t xml:space="preserve"> </w:t>
      </w:r>
      <w:r w:rsidR="00ED5CF0" w:rsidRPr="00FE31A6">
        <w:rPr>
          <w:rFonts w:asciiTheme="majorHAnsi" w:hAnsiTheme="majorHAnsi"/>
          <w:lang w:val="fr-FR"/>
        </w:rPr>
        <w:t xml:space="preserve">total. </w:t>
      </w:r>
      <w:r w:rsidR="00A200F0">
        <w:rPr>
          <w:rFonts w:asciiTheme="majorHAnsi" w:hAnsiTheme="majorHAnsi"/>
          <w:lang w:val="fr-FR"/>
        </w:rPr>
        <w:t>Néanmoins</w:t>
      </w:r>
      <w:r w:rsidR="00D97267" w:rsidRPr="00D97267">
        <w:rPr>
          <w:rFonts w:asciiTheme="majorHAnsi" w:hAnsiTheme="majorHAnsi"/>
          <w:lang w:val="fr-FR"/>
        </w:rPr>
        <w:t>, parmi</w:t>
      </w:r>
      <w:r w:rsidR="003838FB">
        <w:rPr>
          <w:rFonts w:asciiTheme="majorHAnsi" w:hAnsiTheme="majorHAnsi"/>
          <w:lang w:val="fr-FR"/>
        </w:rPr>
        <w:t xml:space="preserve"> celles-ci, 343328 ont changé leur</w:t>
      </w:r>
      <w:r w:rsidR="00D97267" w:rsidRPr="00D97267">
        <w:rPr>
          <w:rFonts w:asciiTheme="majorHAnsi" w:hAnsiTheme="majorHAnsi"/>
          <w:lang w:val="fr-FR"/>
        </w:rPr>
        <w:t xml:space="preserve"> municipalité de résidence. </w:t>
      </w:r>
      <w:r w:rsidR="00D97267" w:rsidRPr="00136CE4">
        <w:rPr>
          <w:rFonts w:asciiTheme="majorHAnsi" w:hAnsiTheme="majorHAnsi"/>
          <w:lang w:val="fr-FR"/>
        </w:rPr>
        <w:t xml:space="preserve">Ce qui </w:t>
      </w:r>
      <w:r w:rsidR="00D97267" w:rsidRPr="00692BC8">
        <w:rPr>
          <w:rFonts w:asciiTheme="majorHAnsi" w:hAnsiTheme="majorHAnsi"/>
          <w:lang w:val="fr-FR"/>
        </w:rPr>
        <w:t xml:space="preserve">correspond à 8,5% du total des familles. </w:t>
      </w:r>
      <w:r w:rsidR="00D97267" w:rsidRPr="0057347E">
        <w:rPr>
          <w:rFonts w:asciiTheme="majorHAnsi" w:hAnsiTheme="majorHAnsi"/>
          <w:lang w:val="fr-FR"/>
        </w:rPr>
        <w:t>Les 616800 familles restantes</w:t>
      </w:r>
      <w:r w:rsidR="00C93F85">
        <w:rPr>
          <w:rFonts w:asciiTheme="majorHAnsi" w:hAnsiTheme="majorHAnsi"/>
          <w:lang w:val="fr-FR"/>
        </w:rPr>
        <w:t>,</w:t>
      </w:r>
      <w:r w:rsidR="0057347E">
        <w:rPr>
          <w:rFonts w:asciiTheme="majorHAnsi" w:hAnsiTheme="majorHAnsi"/>
          <w:lang w:val="fr-FR"/>
        </w:rPr>
        <w:t xml:space="preserve"> </w:t>
      </w:r>
      <w:r w:rsidR="00A200F0">
        <w:rPr>
          <w:rFonts w:asciiTheme="majorHAnsi" w:hAnsiTheme="majorHAnsi"/>
          <w:lang w:val="fr-FR"/>
        </w:rPr>
        <w:t>malgré</w:t>
      </w:r>
      <w:r w:rsidR="0057347E">
        <w:rPr>
          <w:rFonts w:asciiTheme="majorHAnsi" w:hAnsiTheme="majorHAnsi"/>
          <w:lang w:val="fr-FR"/>
        </w:rPr>
        <w:t xml:space="preserve"> </w:t>
      </w:r>
      <w:r w:rsidR="00A200F0">
        <w:rPr>
          <w:rFonts w:asciiTheme="majorHAnsi" w:hAnsiTheme="majorHAnsi"/>
          <w:lang w:val="fr-FR"/>
        </w:rPr>
        <w:t xml:space="preserve">leur </w:t>
      </w:r>
      <w:r w:rsidR="00A200F0" w:rsidRPr="009A652C">
        <w:rPr>
          <w:rFonts w:asciiTheme="majorHAnsi" w:hAnsiTheme="majorHAnsi"/>
          <w:lang w:val="fr-FR"/>
        </w:rPr>
        <w:t>changement</w:t>
      </w:r>
      <w:r w:rsidR="00D97267" w:rsidRPr="009A652C">
        <w:rPr>
          <w:rFonts w:asciiTheme="majorHAnsi" w:hAnsiTheme="majorHAnsi"/>
          <w:lang w:val="fr-FR"/>
        </w:rPr>
        <w:t xml:space="preserve"> de résidence</w:t>
      </w:r>
      <w:r w:rsidR="0057347E">
        <w:rPr>
          <w:rFonts w:asciiTheme="majorHAnsi" w:hAnsiTheme="majorHAnsi"/>
          <w:lang w:val="fr-FR"/>
        </w:rPr>
        <w:t xml:space="preserve"> </w:t>
      </w:r>
      <w:r w:rsidR="003838FB">
        <w:rPr>
          <w:rFonts w:asciiTheme="majorHAnsi" w:hAnsiTheme="majorHAnsi"/>
          <w:lang w:val="fr-FR"/>
        </w:rPr>
        <w:t xml:space="preserve">elles </w:t>
      </w:r>
      <w:r w:rsidR="0057347E">
        <w:rPr>
          <w:rFonts w:asciiTheme="majorHAnsi" w:hAnsiTheme="majorHAnsi"/>
          <w:lang w:val="fr-FR"/>
        </w:rPr>
        <w:t>demeurent</w:t>
      </w:r>
      <w:r w:rsidR="00D97267" w:rsidRPr="0057347E">
        <w:rPr>
          <w:rFonts w:asciiTheme="majorHAnsi" w:hAnsiTheme="majorHAnsi"/>
          <w:lang w:val="fr-FR"/>
        </w:rPr>
        <w:t xml:space="preserve"> </w:t>
      </w:r>
      <w:r w:rsidR="0057347E" w:rsidRPr="0057347E">
        <w:rPr>
          <w:rFonts w:asciiTheme="majorHAnsi" w:hAnsiTheme="majorHAnsi"/>
          <w:lang w:val="fr-FR"/>
        </w:rPr>
        <w:t>dans la même municipalité</w:t>
      </w:r>
      <w:r w:rsidR="006E5271" w:rsidRPr="0057347E">
        <w:rPr>
          <w:rFonts w:asciiTheme="majorHAnsi" w:hAnsiTheme="majorHAnsi"/>
          <w:lang w:val="fr-FR"/>
        </w:rPr>
        <w:t>.</w:t>
      </w:r>
    </w:p>
    <w:p w14:paraId="22CA8CDE" w14:textId="77777777" w:rsidR="00B202F3" w:rsidRPr="00DB26C1" w:rsidRDefault="00C94D83" w:rsidP="005B645B">
      <w:pPr>
        <w:jc w:val="both"/>
        <w:rPr>
          <w:rFonts w:asciiTheme="majorHAnsi" w:hAnsiTheme="majorHAnsi"/>
          <w:lang w:val="fr-FR"/>
        </w:rPr>
      </w:pPr>
      <w:r w:rsidRPr="00E824D8">
        <w:rPr>
          <w:rFonts w:asciiTheme="majorHAnsi" w:hAnsiTheme="majorHAnsi"/>
          <w:lang w:val="fr-FR"/>
        </w:rPr>
        <w:t xml:space="preserve">Quant </w:t>
      </w:r>
      <w:r w:rsidR="00136CE4" w:rsidRPr="00E824D8">
        <w:rPr>
          <w:rFonts w:asciiTheme="majorHAnsi" w:hAnsiTheme="majorHAnsi"/>
          <w:lang w:val="fr-FR"/>
        </w:rPr>
        <w:t>aux</w:t>
      </w:r>
      <w:r w:rsidRPr="00E824D8">
        <w:rPr>
          <w:rFonts w:asciiTheme="majorHAnsi" w:hAnsiTheme="majorHAnsi"/>
          <w:lang w:val="fr-FR"/>
        </w:rPr>
        <w:t xml:space="preserve"> f</w:t>
      </w:r>
      <w:r w:rsidR="00136CE4" w:rsidRPr="00E824D8">
        <w:rPr>
          <w:rFonts w:asciiTheme="majorHAnsi" w:hAnsiTheme="majorHAnsi"/>
          <w:lang w:val="fr-FR"/>
        </w:rPr>
        <w:t>amilles</w:t>
      </w:r>
      <w:r w:rsidR="00612344" w:rsidRPr="00E824D8">
        <w:rPr>
          <w:rFonts w:asciiTheme="majorHAnsi" w:hAnsiTheme="majorHAnsi"/>
          <w:lang w:val="fr-FR"/>
        </w:rPr>
        <w:t xml:space="preserve"> </w:t>
      </w:r>
      <w:r w:rsidR="00136CE4" w:rsidRPr="00E824D8">
        <w:rPr>
          <w:rFonts w:asciiTheme="majorHAnsi" w:hAnsiTheme="majorHAnsi"/>
          <w:lang w:val="fr-FR"/>
        </w:rPr>
        <w:t xml:space="preserve">ayant </w:t>
      </w:r>
      <w:r w:rsidR="0057347E" w:rsidRPr="00E824D8">
        <w:rPr>
          <w:rFonts w:asciiTheme="majorHAnsi" w:hAnsiTheme="majorHAnsi"/>
          <w:lang w:val="fr-FR"/>
        </w:rPr>
        <w:t>changé</w:t>
      </w:r>
      <w:r w:rsidR="00612344" w:rsidRPr="00E824D8">
        <w:rPr>
          <w:rFonts w:asciiTheme="majorHAnsi" w:hAnsiTheme="majorHAnsi"/>
          <w:lang w:val="fr-FR"/>
        </w:rPr>
        <w:t xml:space="preserve"> de r</w:t>
      </w:r>
      <w:r w:rsidR="0057347E" w:rsidRPr="00E824D8">
        <w:rPr>
          <w:rFonts w:asciiTheme="majorHAnsi" w:hAnsiTheme="majorHAnsi"/>
          <w:lang w:val="fr-FR"/>
        </w:rPr>
        <w:t>ésidence</w:t>
      </w:r>
      <w:r w:rsidR="00E64111" w:rsidRPr="00E824D8">
        <w:rPr>
          <w:rFonts w:asciiTheme="majorHAnsi" w:hAnsiTheme="majorHAnsi"/>
          <w:lang w:val="fr-FR"/>
        </w:rPr>
        <w:t>,</w:t>
      </w:r>
      <w:r w:rsidRPr="00E824D8">
        <w:rPr>
          <w:rFonts w:asciiTheme="majorHAnsi" w:hAnsiTheme="majorHAnsi"/>
          <w:lang w:val="fr-FR"/>
        </w:rPr>
        <w:t xml:space="preserve"> </w:t>
      </w:r>
      <w:r w:rsidR="00DB26C1" w:rsidRPr="00E824D8">
        <w:rPr>
          <w:rFonts w:asciiTheme="majorHAnsi" w:hAnsiTheme="majorHAnsi"/>
          <w:lang w:val="fr-FR"/>
        </w:rPr>
        <w:t>considérant</w:t>
      </w:r>
      <w:r w:rsidRPr="00E824D8">
        <w:rPr>
          <w:rFonts w:asciiTheme="majorHAnsi" w:hAnsiTheme="majorHAnsi"/>
          <w:lang w:val="fr-FR"/>
        </w:rPr>
        <w:t xml:space="preserve"> </w:t>
      </w:r>
      <w:r w:rsidR="000023DC" w:rsidRPr="00E824D8">
        <w:rPr>
          <w:rFonts w:asciiTheme="majorHAnsi" w:hAnsiTheme="majorHAnsi"/>
          <w:lang w:val="fr-FR"/>
        </w:rPr>
        <w:t xml:space="preserve">le </w:t>
      </w:r>
      <w:r w:rsidR="00612344" w:rsidRPr="00E824D8">
        <w:rPr>
          <w:rFonts w:asciiTheme="majorHAnsi" w:hAnsiTheme="majorHAnsi"/>
          <w:lang w:val="fr-FR"/>
        </w:rPr>
        <w:t>gr</w:t>
      </w:r>
      <w:r w:rsidR="000023DC" w:rsidRPr="00E824D8">
        <w:rPr>
          <w:rFonts w:asciiTheme="majorHAnsi" w:hAnsiTheme="majorHAnsi"/>
          <w:lang w:val="fr-FR"/>
        </w:rPr>
        <w:t>o</w:t>
      </w:r>
      <w:r w:rsidR="00612344" w:rsidRPr="00E824D8">
        <w:rPr>
          <w:rFonts w:asciiTheme="majorHAnsi" w:hAnsiTheme="majorHAnsi"/>
          <w:lang w:val="fr-FR"/>
        </w:rPr>
        <w:t>up</w:t>
      </w:r>
      <w:r w:rsidR="000023DC" w:rsidRPr="00E824D8">
        <w:rPr>
          <w:rFonts w:asciiTheme="majorHAnsi" w:hAnsiTheme="majorHAnsi"/>
          <w:lang w:val="fr-FR"/>
        </w:rPr>
        <w:t>e</w:t>
      </w:r>
      <w:r w:rsidR="00612344" w:rsidRPr="00E824D8">
        <w:rPr>
          <w:rFonts w:asciiTheme="majorHAnsi" w:hAnsiTheme="majorHAnsi"/>
          <w:lang w:val="fr-FR"/>
        </w:rPr>
        <w:t xml:space="preserve"> </w:t>
      </w:r>
      <w:r w:rsidR="005E48A1" w:rsidRPr="00E824D8">
        <w:rPr>
          <w:rFonts w:asciiTheme="majorHAnsi" w:hAnsiTheme="majorHAnsi"/>
          <w:lang w:val="fr-FR"/>
        </w:rPr>
        <w:t xml:space="preserve">d’âge </w:t>
      </w:r>
      <w:r w:rsidR="00DB26C1">
        <w:rPr>
          <w:rFonts w:asciiTheme="majorHAnsi" w:hAnsiTheme="majorHAnsi"/>
          <w:lang w:val="fr-FR"/>
        </w:rPr>
        <w:t>auquel appartient le</w:t>
      </w:r>
      <w:r w:rsidR="00612344" w:rsidRPr="00E824D8">
        <w:rPr>
          <w:rFonts w:asciiTheme="majorHAnsi" w:hAnsiTheme="majorHAnsi"/>
          <w:lang w:val="fr-FR"/>
        </w:rPr>
        <w:t xml:space="preserve"> </w:t>
      </w:r>
      <w:r w:rsidR="00DB26C1" w:rsidRPr="00E824D8">
        <w:rPr>
          <w:rFonts w:asciiTheme="majorHAnsi" w:hAnsiTheme="majorHAnsi"/>
          <w:lang w:val="fr-FR"/>
        </w:rPr>
        <w:t>représentant</w:t>
      </w:r>
      <w:r w:rsidR="00612344" w:rsidRPr="00E824D8">
        <w:rPr>
          <w:rFonts w:asciiTheme="majorHAnsi" w:hAnsiTheme="majorHAnsi"/>
          <w:lang w:val="fr-FR"/>
        </w:rPr>
        <w:t xml:space="preserve"> d</w:t>
      </w:r>
      <w:r w:rsidR="005E48A1" w:rsidRPr="00E824D8">
        <w:rPr>
          <w:rFonts w:asciiTheme="majorHAnsi" w:hAnsiTheme="majorHAnsi"/>
          <w:lang w:val="fr-FR"/>
        </w:rPr>
        <w:t>e la famille</w:t>
      </w:r>
      <w:r w:rsidR="00E64111" w:rsidRPr="00E824D8">
        <w:rPr>
          <w:rFonts w:asciiTheme="majorHAnsi" w:hAnsiTheme="majorHAnsi"/>
          <w:lang w:val="fr-FR"/>
        </w:rPr>
        <w:t>,</w:t>
      </w:r>
      <w:r w:rsidRPr="00E824D8">
        <w:rPr>
          <w:rFonts w:asciiTheme="majorHAnsi" w:hAnsiTheme="majorHAnsi"/>
          <w:lang w:val="fr-FR"/>
        </w:rPr>
        <w:t xml:space="preserve"> </w:t>
      </w:r>
      <w:r w:rsidR="00E824D8" w:rsidRPr="00E824D8">
        <w:rPr>
          <w:rFonts w:asciiTheme="majorHAnsi" w:hAnsiTheme="majorHAnsi"/>
          <w:lang w:val="fr-FR"/>
        </w:rPr>
        <w:t>il est manifeste que la mobilit</w:t>
      </w:r>
      <w:r w:rsidR="00E824D8">
        <w:rPr>
          <w:rFonts w:asciiTheme="majorHAnsi" w:hAnsiTheme="majorHAnsi"/>
          <w:lang w:val="fr-FR"/>
        </w:rPr>
        <w:t>é est plus intense entre les 25 et 39 ans</w:t>
      </w:r>
      <w:r w:rsidRPr="00E824D8">
        <w:rPr>
          <w:rFonts w:asciiTheme="majorHAnsi" w:hAnsiTheme="majorHAnsi"/>
          <w:lang w:val="fr-FR"/>
        </w:rPr>
        <w:t xml:space="preserve">, </w:t>
      </w:r>
      <w:r w:rsidR="00E824D8">
        <w:rPr>
          <w:rFonts w:asciiTheme="majorHAnsi" w:hAnsiTheme="majorHAnsi"/>
          <w:lang w:val="fr-FR"/>
        </w:rPr>
        <w:t>même si on note une différence</w:t>
      </w:r>
      <w:r w:rsidR="00F546A7">
        <w:rPr>
          <w:rFonts w:asciiTheme="majorHAnsi" w:hAnsiTheme="majorHAnsi"/>
          <w:lang w:val="fr-FR"/>
        </w:rPr>
        <w:t xml:space="preserve"> accentuée</w:t>
      </w:r>
      <w:r w:rsidR="00E824D8">
        <w:rPr>
          <w:rFonts w:asciiTheme="majorHAnsi" w:hAnsiTheme="majorHAnsi"/>
          <w:lang w:val="fr-FR"/>
        </w:rPr>
        <w:t xml:space="preserve"> entre les familles qui se sont d</w:t>
      </w:r>
      <w:r w:rsidR="00F546A7">
        <w:rPr>
          <w:rFonts w:asciiTheme="majorHAnsi" w:hAnsiTheme="majorHAnsi"/>
          <w:lang w:val="fr-FR"/>
        </w:rPr>
        <w:t>é</w:t>
      </w:r>
      <w:r w:rsidR="00E824D8">
        <w:rPr>
          <w:rFonts w:asciiTheme="majorHAnsi" w:hAnsiTheme="majorHAnsi"/>
          <w:lang w:val="fr-FR"/>
        </w:rPr>
        <w:t xml:space="preserve">placées </w:t>
      </w:r>
      <w:r w:rsidR="00F546A7">
        <w:rPr>
          <w:rFonts w:asciiTheme="majorHAnsi" w:hAnsiTheme="majorHAnsi"/>
          <w:lang w:val="fr-FR"/>
        </w:rPr>
        <w:t>de l’étranger</w:t>
      </w:r>
      <w:r w:rsidR="00E824D8">
        <w:rPr>
          <w:rFonts w:asciiTheme="majorHAnsi" w:hAnsiTheme="majorHAnsi"/>
          <w:lang w:val="fr-FR"/>
        </w:rPr>
        <w:t xml:space="preserve"> </w:t>
      </w:r>
      <w:r w:rsidR="00B202F3" w:rsidRPr="00E824D8">
        <w:rPr>
          <w:rFonts w:asciiTheme="majorHAnsi" w:hAnsiTheme="majorHAnsi"/>
          <w:lang w:val="fr-FR"/>
        </w:rPr>
        <w:t>entr</w:t>
      </w:r>
      <w:r w:rsidRPr="00E824D8">
        <w:rPr>
          <w:rFonts w:asciiTheme="majorHAnsi" w:hAnsiTheme="majorHAnsi"/>
          <w:lang w:val="fr-FR"/>
        </w:rPr>
        <w:t xml:space="preserve">e </w:t>
      </w:r>
      <w:r w:rsidR="00F546A7">
        <w:rPr>
          <w:rFonts w:asciiTheme="majorHAnsi" w:hAnsiTheme="majorHAnsi"/>
          <w:lang w:val="fr-FR"/>
        </w:rPr>
        <w:t>les</w:t>
      </w:r>
      <w:r w:rsidRPr="00E824D8">
        <w:rPr>
          <w:rFonts w:asciiTheme="majorHAnsi" w:hAnsiTheme="majorHAnsi"/>
          <w:lang w:val="fr-FR"/>
        </w:rPr>
        <w:t xml:space="preserve"> 60 e</w:t>
      </w:r>
      <w:r w:rsidR="00F546A7">
        <w:rPr>
          <w:rFonts w:asciiTheme="majorHAnsi" w:hAnsiTheme="majorHAnsi"/>
          <w:lang w:val="fr-FR"/>
        </w:rPr>
        <w:t>t</w:t>
      </w:r>
      <w:r w:rsidRPr="00E824D8">
        <w:rPr>
          <w:rFonts w:asciiTheme="majorHAnsi" w:hAnsiTheme="majorHAnsi"/>
          <w:lang w:val="fr-FR"/>
        </w:rPr>
        <w:t xml:space="preserve"> </w:t>
      </w:r>
      <w:r w:rsidR="00B202F3" w:rsidRPr="00E824D8">
        <w:rPr>
          <w:rFonts w:asciiTheme="majorHAnsi" w:hAnsiTheme="majorHAnsi"/>
          <w:lang w:val="fr-FR"/>
        </w:rPr>
        <w:t>69</w:t>
      </w:r>
      <w:r w:rsidR="00F546A7">
        <w:rPr>
          <w:rFonts w:asciiTheme="majorHAnsi" w:hAnsiTheme="majorHAnsi"/>
          <w:lang w:val="fr-FR"/>
        </w:rPr>
        <w:t xml:space="preserve"> ans</w:t>
      </w:r>
      <w:r w:rsidRPr="00E824D8">
        <w:rPr>
          <w:rFonts w:asciiTheme="majorHAnsi" w:hAnsiTheme="majorHAnsi"/>
          <w:lang w:val="fr-FR"/>
        </w:rPr>
        <w:t xml:space="preserve">. </w:t>
      </w:r>
      <w:r w:rsidR="00DB26C1" w:rsidRPr="00DB26C1">
        <w:rPr>
          <w:rFonts w:asciiTheme="majorHAnsi" w:hAnsiTheme="majorHAnsi"/>
          <w:lang w:val="fr-FR"/>
        </w:rPr>
        <w:t>Considérant</w:t>
      </w:r>
      <w:r w:rsidRPr="00DB26C1">
        <w:rPr>
          <w:rFonts w:asciiTheme="majorHAnsi" w:hAnsiTheme="majorHAnsi"/>
          <w:lang w:val="fr-FR"/>
        </w:rPr>
        <w:t xml:space="preserve"> </w:t>
      </w:r>
      <w:r w:rsidR="00F546A7" w:rsidRPr="00DB26C1">
        <w:rPr>
          <w:rFonts w:asciiTheme="majorHAnsi" w:hAnsiTheme="majorHAnsi"/>
          <w:lang w:val="fr-FR"/>
        </w:rPr>
        <w:t>les différents</w:t>
      </w:r>
      <w:r w:rsidRPr="00DB26C1">
        <w:rPr>
          <w:rFonts w:asciiTheme="majorHAnsi" w:hAnsiTheme="majorHAnsi"/>
          <w:lang w:val="fr-FR"/>
        </w:rPr>
        <w:t xml:space="preserve"> gr</w:t>
      </w:r>
      <w:r w:rsidR="00F546A7" w:rsidRPr="00DB26C1">
        <w:rPr>
          <w:rFonts w:asciiTheme="majorHAnsi" w:hAnsiTheme="majorHAnsi"/>
          <w:lang w:val="fr-FR"/>
        </w:rPr>
        <w:t>o</w:t>
      </w:r>
      <w:r w:rsidRPr="00DB26C1">
        <w:rPr>
          <w:rFonts w:asciiTheme="majorHAnsi" w:hAnsiTheme="majorHAnsi"/>
          <w:lang w:val="fr-FR"/>
        </w:rPr>
        <w:t>up</w:t>
      </w:r>
      <w:r w:rsidR="00F546A7" w:rsidRPr="00DB26C1">
        <w:rPr>
          <w:rFonts w:asciiTheme="majorHAnsi" w:hAnsiTheme="majorHAnsi"/>
          <w:lang w:val="fr-FR"/>
        </w:rPr>
        <w:t>e</w:t>
      </w:r>
      <w:r w:rsidRPr="00DB26C1">
        <w:rPr>
          <w:rFonts w:asciiTheme="majorHAnsi" w:hAnsiTheme="majorHAnsi"/>
          <w:lang w:val="fr-FR"/>
        </w:rPr>
        <w:t xml:space="preserve">s </w:t>
      </w:r>
      <w:r w:rsidR="00F546A7" w:rsidRPr="00DB26C1">
        <w:rPr>
          <w:rFonts w:asciiTheme="majorHAnsi" w:hAnsiTheme="majorHAnsi"/>
          <w:lang w:val="fr-FR"/>
        </w:rPr>
        <w:t>d’âge</w:t>
      </w:r>
      <w:r w:rsidR="00DB26C1">
        <w:rPr>
          <w:rFonts w:asciiTheme="majorHAnsi" w:hAnsiTheme="majorHAnsi"/>
          <w:lang w:val="fr-FR"/>
        </w:rPr>
        <w:t xml:space="preserve">s, la mobilité qui se produit </w:t>
      </w:r>
      <w:r w:rsidR="00DB26C1" w:rsidRPr="00DB26C1">
        <w:rPr>
          <w:rFonts w:asciiTheme="majorHAnsi" w:hAnsiTheme="majorHAnsi"/>
          <w:lang w:val="fr-FR"/>
        </w:rPr>
        <w:t xml:space="preserve">entre </w:t>
      </w:r>
      <w:r w:rsidR="00DB26C1">
        <w:rPr>
          <w:rFonts w:asciiTheme="majorHAnsi" w:hAnsiTheme="majorHAnsi"/>
          <w:lang w:val="fr-FR"/>
        </w:rPr>
        <w:t>les</w:t>
      </w:r>
      <w:r w:rsidR="00DB26C1" w:rsidRPr="00DB26C1">
        <w:rPr>
          <w:rFonts w:asciiTheme="majorHAnsi" w:hAnsiTheme="majorHAnsi"/>
          <w:lang w:val="fr-FR"/>
        </w:rPr>
        <w:t xml:space="preserve"> munic</w:t>
      </w:r>
      <w:r w:rsidR="00DB26C1">
        <w:rPr>
          <w:rFonts w:asciiTheme="majorHAnsi" w:hAnsiTheme="majorHAnsi"/>
          <w:lang w:val="fr-FR"/>
        </w:rPr>
        <w:t xml:space="preserve">ipalités portugaises </w:t>
      </w:r>
      <w:r w:rsidR="00DB26C1" w:rsidRPr="00DB26C1">
        <w:rPr>
          <w:rFonts w:asciiTheme="majorHAnsi" w:hAnsiTheme="majorHAnsi"/>
          <w:lang w:val="fr-FR"/>
        </w:rPr>
        <w:t>est toujours plus</w:t>
      </w:r>
      <w:r w:rsidR="00DB26C1">
        <w:rPr>
          <w:rFonts w:asciiTheme="majorHAnsi" w:hAnsiTheme="majorHAnsi"/>
          <w:lang w:val="fr-FR"/>
        </w:rPr>
        <w:t xml:space="preserve"> expressive.</w:t>
      </w:r>
      <w:r w:rsidR="00DB26C1" w:rsidRPr="00DB26C1">
        <w:rPr>
          <w:rFonts w:asciiTheme="majorHAnsi" w:hAnsiTheme="majorHAnsi"/>
          <w:lang w:val="fr-FR"/>
        </w:rPr>
        <w:t xml:space="preserve"> </w:t>
      </w:r>
      <w:r w:rsidR="00A12D64" w:rsidRPr="00DB26C1">
        <w:rPr>
          <w:rFonts w:asciiTheme="majorHAnsi" w:hAnsiTheme="majorHAnsi"/>
          <w:lang w:val="fr-FR"/>
        </w:rPr>
        <w:t>N</w:t>
      </w:r>
      <w:r w:rsidR="00DB26C1" w:rsidRPr="00DB26C1">
        <w:rPr>
          <w:rFonts w:asciiTheme="majorHAnsi" w:hAnsiTheme="majorHAnsi"/>
          <w:lang w:val="fr-FR"/>
        </w:rPr>
        <w:t xml:space="preserve">éanmoins parmi les plus âgés, </w:t>
      </w:r>
      <w:r w:rsidR="00B6234C">
        <w:rPr>
          <w:rFonts w:asciiTheme="majorHAnsi" w:hAnsiTheme="majorHAnsi"/>
          <w:lang w:val="fr-FR"/>
        </w:rPr>
        <w:t>pour les familles dont le représentant est âgé de</w:t>
      </w:r>
      <w:r w:rsidR="00DB26C1" w:rsidRPr="00DB26C1">
        <w:rPr>
          <w:rFonts w:asciiTheme="majorHAnsi" w:hAnsiTheme="majorHAnsi"/>
          <w:lang w:val="fr-FR"/>
        </w:rPr>
        <w:t xml:space="preserve"> </w:t>
      </w:r>
      <w:r w:rsidR="00E64111" w:rsidRPr="00DB26C1">
        <w:rPr>
          <w:rFonts w:asciiTheme="majorHAnsi" w:hAnsiTheme="majorHAnsi"/>
          <w:lang w:val="fr-FR"/>
        </w:rPr>
        <w:t>45/</w:t>
      </w:r>
      <w:r w:rsidR="00DB26C1" w:rsidRPr="00DB26C1">
        <w:rPr>
          <w:rFonts w:asciiTheme="majorHAnsi" w:hAnsiTheme="majorHAnsi"/>
          <w:lang w:val="fr-FR"/>
        </w:rPr>
        <w:t xml:space="preserve"> 50 an</w:t>
      </w:r>
      <w:r w:rsidR="00A12D64" w:rsidRPr="00DB26C1">
        <w:rPr>
          <w:rFonts w:asciiTheme="majorHAnsi" w:hAnsiTheme="majorHAnsi"/>
          <w:lang w:val="fr-FR"/>
        </w:rPr>
        <w:t>s</w:t>
      </w:r>
      <w:r w:rsidR="00E64111" w:rsidRPr="00DB26C1">
        <w:rPr>
          <w:rFonts w:asciiTheme="majorHAnsi" w:hAnsiTheme="majorHAnsi"/>
          <w:lang w:val="fr-FR"/>
        </w:rPr>
        <w:t xml:space="preserve">, </w:t>
      </w:r>
      <w:r w:rsidR="00DB26C1">
        <w:rPr>
          <w:rFonts w:asciiTheme="majorHAnsi" w:hAnsiTheme="majorHAnsi"/>
          <w:lang w:val="fr-FR"/>
        </w:rPr>
        <w:t xml:space="preserve">la proportion des familles se déplaçant de l’étranger </w:t>
      </w:r>
      <w:r w:rsidR="00B6234C">
        <w:rPr>
          <w:rFonts w:asciiTheme="majorHAnsi" w:hAnsiTheme="majorHAnsi"/>
          <w:lang w:val="fr-FR"/>
        </w:rPr>
        <w:t>est proportionnellement plus élevée</w:t>
      </w:r>
    </w:p>
    <w:p w14:paraId="4F8AF53E" w14:textId="77777777" w:rsidR="00B202F3" w:rsidRPr="00DB26C1" w:rsidRDefault="005E48A1" w:rsidP="005E48A1">
      <w:pPr>
        <w:tabs>
          <w:tab w:val="left" w:pos="1620"/>
        </w:tabs>
        <w:rPr>
          <w:rFonts w:ascii="Lucida Grande" w:hAnsi="Lucida Grande" w:cs="Lucida Grande"/>
          <w:color w:val="000000"/>
          <w:lang w:val="fr-FR"/>
        </w:rPr>
      </w:pPr>
      <w:r w:rsidRPr="00DB26C1">
        <w:rPr>
          <w:rFonts w:ascii="Lucida Grande" w:hAnsi="Lucida Grande" w:cs="Lucida Grande"/>
          <w:color w:val="000000"/>
          <w:lang w:val="fr-FR"/>
        </w:rPr>
        <w:tab/>
      </w:r>
    </w:p>
    <w:p w14:paraId="20EF2823" w14:textId="77777777" w:rsidR="0074624C" w:rsidRPr="00CC4C2D" w:rsidRDefault="00E64111" w:rsidP="00CC4C2D">
      <w:pPr>
        <w:pStyle w:val="Caption"/>
        <w:rPr>
          <w:b w:val="0"/>
          <w:color w:val="auto"/>
          <w:lang w:val="fr-FR"/>
        </w:rPr>
      </w:pPr>
      <w:r w:rsidRPr="00CC4C2D">
        <w:rPr>
          <w:b w:val="0"/>
          <w:color w:val="auto"/>
          <w:lang w:val="fr-FR"/>
        </w:rPr>
        <w:t xml:space="preserve">Graphique nº </w:t>
      </w:r>
      <w:r w:rsidR="00006281" w:rsidRPr="00CC4C2D">
        <w:rPr>
          <w:b w:val="0"/>
          <w:color w:val="auto"/>
          <w:lang w:val="fr-FR"/>
        </w:rPr>
        <w:fldChar w:fldCharType="begin"/>
      </w:r>
      <w:r w:rsidR="00907FE2" w:rsidRPr="00CC4C2D">
        <w:rPr>
          <w:b w:val="0"/>
          <w:color w:val="auto"/>
          <w:lang w:val="fr-FR"/>
        </w:rPr>
        <w:instrText xml:space="preserve"> SEQ Graphique_nº \* ARABIC </w:instrText>
      </w:r>
      <w:r w:rsidR="00006281" w:rsidRPr="00CC4C2D">
        <w:rPr>
          <w:b w:val="0"/>
          <w:color w:val="auto"/>
          <w:lang w:val="fr-FR"/>
        </w:rPr>
        <w:fldChar w:fldCharType="separate"/>
      </w:r>
      <w:r w:rsidR="00CC4C2D">
        <w:rPr>
          <w:b w:val="0"/>
          <w:noProof/>
          <w:color w:val="auto"/>
          <w:lang w:val="fr-FR"/>
        </w:rPr>
        <w:t>5</w:t>
      </w:r>
      <w:r w:rsidR="00006281" w:rsidRPr="00CC4C2D">
        <w:rPr>
          <w:b w:val="0"/>
          <w:color w:val="auto"/>
          <w:lang w:val="fr-FR"/>
        </w:rPr>
        <w:fldChar w:fldCharType="end"/>
      </w:r>
      <w:r w:rsidR="00B6234C" w:rsidRPr="00CC4C2D">
        <w:rPr>
          <w:b w:val="0"/>
          <w:color w:val="auto"/>
          <w:lang w:val="fr-FR"/>
        </w:rPr>
        <w:t xml:space="preserve"> </w:t>
      </w:r>
      <w:r w:rsidR="00F06431" w:rsidRPr="00CC4C2D">
        <w:rPr>
          <w:b w:val="0"/>
          <w:color w:val="auto"/>
          <w:lang w:val="fr-FR"/>
        </w:rPr>
        <w:t>Familles</w:t>
      </w:r>
      <w:r w:rsidRPr="00CC4C2D">
        <w:rPr>
          <w:b w:val="0"/>
          <w:color w:val="auto"/>
          <w:lang w:val="fr-FR"/>
        </w:rPr>
        <w:t xml:space="preserve"> </w:t>
      </w:r>
      <w:r w:rsidR="005E48A1" w:rsidRPr="00CC4C2D">
        <w:rPr>
          <w:b w:val="0"/>
          <w:color w:val="auto"/>
          <w:lang w:val="fr-FR"/>
        </w:rPr>
        <w:t>ayant changé de résidence en fonction du groupe d’</w:t>
      </w:r>
      <w:r w:rsidR="00B6234C" w:rsidRPr="00CC4C2D">
        <w:rPr>
          <w:b w:val="0"/>
          <w:color w:val="auto"/>
          <w:lang w:val="fr-FR"/>
        </w:rPr>
        <w:t xml:space="preserve">âge du </w:t>
      </w:r>
      <w:r w:rsidR="00F06431" w:rsidRPr="00CC4C2D">
        <w:rPr>
          <w:b w:val="0"/>
          <w:color w:val="auto"/>
          <w:lang w:val="fr-FR"/>
        </w:rPr>
        <w:t>représentant</w:t>
      </w:r>
      <w:r w:rsidRPr="00CC4C2D">
        <w:rPr>
          <w:b w:val="0"/>
          <w:color w:val="auto"/>
          <w:lang w:val="fr-FR"/>
        </w:rPr>
        <w:t xml:space="preserve"> </w:t>
      </w:r>
    </w:p>
    <w:p w14:paraId="11E38DAD" w14:textId="77777777" w:rsidR="0074624C" w:rsidRPr="000142FD" w:rsidRDefault="0074624C" w:rsidP="0074624C">
      <w:pPr>
        <w:rPr>
          <w:lang w:val="en-GB"/>
        </w:rPr>
      </w:pPr>
    </w:p>
    <w:p w14:paraId="61BED9D9" w14:textId="77777777" w:rsidR="0074624C" w:rsidRDefault="0074624C" w:rsidP="0074624C">
      <w:r>
        <w:rPr>
          <w:noProof/>
          <w:lang w:val="en-US" w:eastAsia="en-US"/>
        </w:rPr>
        <w:drawing>
          <wp:inline distT="0" distB="0" distL="0" distR="0" wp14:anchorId="4DC67D3C" wp14:editId="52BF4D86">
            <wp:extent cx="4800600" cy="2781300"/>
            <wp:effectExtent l="0" t="0" r="25400" b="127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1B835EB" w14:textId="77777777" w:rsidR="00FE53F4" w:rsidRDefault="005E48A1" w:rsidP="00586D00">
      <w:pPr>
        <w:spacing w:after="120"/>
        <w:jc w:val="both"/>
        <w:rPr>
          <w:rFonts w:asciiTheme="majorHAnsi" w:hAnsiTheme="majorHAnsi"/>
          <w:sz w:val="20"/>
          <w:szCs w:val="20"/>
          <w:lang w:val="fr-FR"/>
        </w:rPr>
      </w:pPr>
      <w:r w:rsidRPr="00CC4C2D">
        <w:rPr>
          <w:rFonts w:asciiTheme="majorHAnsi" w:hAnsiTheme="majorHAnsi"/>
          <w:sz w:val="20"/>
          <w:szCs w:val="20"/>
          <w:lang w:val="fr-FR"/>
        </w:rPr>
        <w:t>Source: INE Recensement de la Population 2011</w:t>
      </w:r>
    </w:p>
    <w:p w14:paraId="42F95B47" w14:textId="77777777" w:rsidR="00CC4C2D" w:rsidRPr="00CC4C2D" w:rsidRDefault="00CC4C2D" w:rsidP="00586D00">
      <w:pPr>
        <w:spacing w:after="120"/>
        <w:jc w:val="both"/>
        <w:rPr>
          <w:rFonts w:asciiTheme="majorHAnsi" w:hAnsiTheme="majorHAnsi"/>
          <w:sz w:val="20"/>
          <w:szCs w:val="20"/>
          <w:lang w:val="fr-FR"/>
        </w:rPr>
      </w:pPr>
    </w:p>
    <w:p w14:paraId="732F83A3" w14:textId="77777777" w:rsidR="00F06431" w:rsidRPr="00B719B5" w:rsidRDefault="005E48A1" w:rsidP="00586D00">
      <w:pPr>
        <w:spacing w:after="120"/>
        <w:jc w:val="both"/>
        <w:rPr>
          <w:rFonts w:asciiTheme="majorHAnsi" w:hAnsiTheme="majorHAnsi"/>
          <w:lang w:val="fr-FR"/>
        </w:rPr>
      </w:pPr>
      <w:r w:rsidRPr="00B6234C">
        <w:rPr>
          <w:rFonts w:asciiTheme="majorHAnsi" w:hAnsiTheme="majorHAnsi"/>
          <w:lang w:val="fr-FR"/>
        </w:rPr>
        <w:t>Les f</w:t>
      </w:r>
      <w:r w:rsidR="00E64111" w:rsidRPr="00B6234C">
        <w:rPr>
          <w:rFonts w:asciiTheme="majorHAnsi" w:hAnsiTheme="majorHAnsi"/>
          <w:lang w:val="fr-FR"/>
        </w:rPr>
        <w:t>am</w:t>
      </w:r>
      <w:r w:rsidRPr="00B6234C">
        <w:rPr>
          <w:rFonts w:asciiTheme="majorHAnsi" w:hAnsiTheme="majorHAnsi"/>
          <w:lang w:val="fr-FR"/>
        </w:rPr>
        <w:t xml:space="preserve">illes </w:t>
      </w:r>
      <w:r w:rsidR="00B6234C">
        <w:rPr>
          <w:rFonts w:asciiTheme="majorHAnsi" w:hAnsiTheme="majorHAnsi"/>
          <w:lang w:val="fr-FR"/>
        </w:rPr>
        <w:t>ayant</w:t>
      </w:r>
      <w:r w:rsidRPr="00B6234C">
        <w:rPr>
          <w:rFonts w:asciiTheme="majorHAnsi" w:hAnsiTheme="majorHAnsi"/>
          <w:lang w:val="fr-FR"/>
        </w:rPr>
        <w:t xml:space="preserve"> changé de résidence</w:t>
      </w:r>
      <w:r w:rsidR="002369D2" w:rsidRPr="00B6234C">
        <w:rPr>
          <w:rFonts w:asciiTheme="majorHAnsi" w:hAnsiTheme="majorHAnsi"/>
          <w:lang w:val="fr-FR"/>
        </w:rPr>
        <w:t>,</w:t>
      </w:r>
      <w:r w:rsidRPr="00B6234C">
        <w:rPr>
          <w:rFonts w:asciiTheme="majorHAnsi" w:hAnsiTheme="majorHAnsi"/>
          <w:lang w:val="fr-FR"/>
        </w:rPr>
        <w:t xml:space="preserve"> </w:t>
      </w:r>
      <w:r w:rsidR="002369D2" w:rsidRPr="00B6234C">
        <w:rPr>
          <w:rFonts w:asciiTheme="majorHAnsi" w:hAnsiTheme="majorHAnsi"/>
          <w:lang w:val="fr-FR"/>
        </w:rPr>
        <w:t xml:space="preserve">ont </w:t>
      </w:r>
      <w:r w:rsidR="00B6234C" w:rsidRPr="00B6234C">
        <w:rPr>
          <w:rFonts w:asciiTheme="majorHAnsi" w:hAnsiTheme="majorHAnsi"/>
          <w:lang w:val="fr-FR"/>
        </w:rPr>
        <w:t>pour la plupart</w:t>
      </w:r>
      <w:r w:rsidR="002369D2" w:rsidRPr="00B6234C">
        <w:rPr>
          <w:rFonts w:asciiTheme="majorHAnsi" w:hAnsiTheme="majorHAnsi"/>
          <w:lang w:val="fr-FR"/>
        </w:rPr>
        <w:t xml:space="preserve"> leur représentant employé</w:t>
      </w:r>
      <w:r w:rsidR="00B6234C" w:rsidRPr="00B6234C">
        <w:rPr>
          <w:rFonts w:asciiTheme="majorHAnsi" w:hAnsiTheme="majorHAnsi"/>
          <w:lang w:val="fr-FR"/>
        </w:rPr>
        <w:t>, même si cette diff</w:t>
      </w:r>
      <w:r w:rsidR="00B6234C">
        <w:rPr>
          <w:rFonts w:asciiTheme="majorHAnsi" w:hAnsiTheme="majorHAnsi"/>
          <w:lang w:val="fr-FR"/>
        </w:rPr>
        <w:t>érence est plus expressive entre les familles se déplaçant entre les municipalités.</w:t>
      </w:r>
      <w:r w:rsidR="00E64111" w:rsidRPr="00B6234C">
        <w:rPr>
          <w:rFonts w:asciiTheme="majorHAnsi" w:hAnsiTheme="majorHAnsi"/>
          <w:lang w:val="fr-FR"/>
        </w:rPr>
        <w:t xml:space="preserve"> </w:t>
      </w:r>
      <w:r w:rsidR="009D568E">
        <w:rPr>
          <w:rFonts w:asciiTheme="majorHAnsi" w:hAnsiTheme="majorHAnsi"/>
          <w:lang w:val="fr-FR"/>
        </w:rPr>
        <w:t>Une grande proportion de</w:t>
      </w:r>
      <w:r w:rsidR="00B6234C" w:rsidRPr="00665F36">
        <w:rPr>
          <w:rFonts w:asciiTheme="majorHAnsi" w:hAnsiTheme="majorHAnsi"/>
          <w:lang w:val="fr-FR"/>
        </w:rPr>
        <w:t xml:space="preserve"> familles </w:t>
      </w:r>
      <w:r w:rsidR="00665F36">
        <w:rPr>
          <w:rFonts w:asciiTheme="majorHAnsi" w:hAnsiTheme="majorHAnsi"/>
          <w:lang w:val="fr-FR"/>
        </w:rPr>
        <w:t>dont le</w:t>
      </w:r>
      <w:r w:rsidR="00B6234C" w:rsidRPr="00665F36">
        <w:rPr>
          <w:rFonts w:asciiTheme="majorHAnsi" w:hAnsiTheme="majorHAnsi"/>
          <w:lang w:val="fr-FR"/>
        </w:rPr>
        <w:t xml:space="preserve"> représentant </w:t>
      </w:r>
      <w:r w:rsidR="00665F36">
        <w:rPr>
          <w:rFonts w:asciiTheme="majorHAnsi" w:hAnsiTheme="majorHAnsi"/>
          <w:lang w:val="fr-FR"/>
        </w:rPr>
        <w:t xml:space="preserve">est en </w:t>
      </w:r>
      <w:r w:rsidR="00665F36" w:rsidRPr="00665F36">
        <w:rPr>
          <w:rFonts w:asciiTheme="majorHAnsi" w:hAnsiTheme="majorHAnsi"/>
          <w:lang w:val="fr-FR"/>
        </w:rPr>
        <w:t>condition d</w:t>
      </w:r>
      <w:r w:rsidR="00665F36">
        <w:rPr>
          <w:rFonts w:asciiTheme="majorHAnsi" w:hAnsiTheme="majorHAnsi"/>
          <w:lang w:val="fr-FR"/>
        </w:rPr>
        <w:t>’</w:t>
      </w:r>
      <w:r w:rsidR="00665F36" w:rsidRPr="00665F36">
        <w:rPr>
          <w:rFonts w:asciiTheme="majorHAnsi" w:hAnsiTheme="majorHAnsi"/>
          <w:lang w:val="fr-FR"/>
        </w:rPr>
        <w:t>inactivit</w:t>
      </w:r>
      <w:r w:rsidR="00665F36">
        <w:rPr>
          <w:rFonts w:asciiTheme="majorHAnsi" w:hAnsiTheme="majorHAnsi"/>
          <w:lang w:val="fr-FR"/>
        </w:rPr>
        <w:t>é so</w:t>
      </w:r>
      <w:r w:rsidR="00F255F4">
        <w:rPr>
          <w:rFonts w:asciiTheme="majorHAnsi" w:hAnsiTheme="majorHAnsi"/>
          <w:lang w:val="fr-FR"/>
        </w:rPr>
        <w:t>nt celles qui se déplacent de l</w:t>
      </w:r>
      <w:r w:rsidR="00665F36">
        <w:rPr>
          <w:rFonts w:asciiTheme="majorHAnsi" w:hAnsiTheme="majorHAnsi"/>
          <w:lang w:val="fr-FR"/>
        </w:rPr>
        <w:t xml:space="preserve">‘étranger, soit </w:t>
      </w:r>
      <w:r w:rsidR="005B645B" w:rsidRPr="00665F36">
        <w:rPr>
          <w:rFonts w:asciiTheme="majorHAnsi" w:hAnsiTheme="majorHAnsi"/>
          <w:lang w:val="fr-FR"/>
        </w:rPr>
        <w:t xml:space="preserve">41,06%. </w:t>
      </w:r>
      <w:r w:rsidR="00665F36" w:rsidRPr="00665F36">
        <w:rPr>
          <w:rFonts w:asciiTheme="majorHAnsi" w:hAnsiTheme="majorHAnsi"/>
          <w:lang w:val="fr-FR"/>
        </w:rPr>
        <w:t xml:space="preserve">A </w:t>
      </w:r>
      <w:r w:rsidR="00665F36">
        <w:rPr>
          <w:rFonts w:asciiTheme="majorHAnsi" w:hAnsiTheme="majorHAnsi"/>
          <w:lang w:val="fr-FR"/>
        </w:rPr>
        <w:lastRenderedPageBreak/>
        <w:t>n</w:t>
      </w:r>
      <w:r w:rsidR="00665F36" w:rsidRPr="00665F36">
        <w:rPr>
          <w:rFonts w:asciiTheme="majorHAnsi" w:hAnsiTheme="majorHAnsi"/>
          <w:lang w:val="fr-FR"/>
        </w:rPr>
        <w:t>oter que la proportion des familles dont le repr</w:t>
      </w:r>
      <w:r w:rsidR="00665F36">
        <w:rPr>
          <w:rFonts w:asciiTheme="majorHAnsi" w:hAnsiTheme="majorHAnsi"/>
          <w:lang w:val="fr-FR"/>
        </w:rPr>
        <w:t>és</w:t>
      </w:r>
      <w:r w:rsidR="00665F36" w:rsidRPr="00665F36">
        <w:rPr>
          <w:rFonts w:asciiTheme="majorHAnsi" w:hAnsiTheme="majorHAnsi"/>
          <w:lang w:val="fr-FR"/>
        </w:rPr>
        <w:t>entant se déclare inactif est tr</w:t>
      </w:r>
      <w:r w:rsidR="00665F36">
        <w:rPr>
          <w:rFonts w:asciiTheme="majorHAnsi" w:hAnsiTheme="majorHAnsi"/>
          <w:lang w:val="fr-FR"/>
        </w:rPr>
        <w:t>ès proche de ce</w:t>
      </w:r>
      <w:r w:rsidR="00623993">
        <w:rPr>
          <w:rFonts w:asciiTheme="majorHAnsi" w:hAnsiTheme="majorHAnsi"/>
          <w:lang w:val="fr-FR"/>
        </w:rPr>
        <w:t xml:space="preserve">lle </w:t>
      </w:r>
      <w:r w:rsidR="00255C8D">
        <w:rPr>
          <w:rFonts w:asciiTheme="majorHAnsi" w:hAnsiTheme="majorHAnsi"/>
          <w:lang w:val="fr-FR"/>
        </w:rPr>
        <w:t>dont le représentant est employé</w:t>
      </w:r>
      <w:r w:rsidR="00B719B5">
        <w:rPr>
          <w:rFonts w:asciiTheme="majorHAnsi" w:hAnsiTheme="majorHAnsi"/>
          <w:lang w:val="fr-FR"/>
        </w:rPr>
        <w:t>.</w:t>
      </w:r>
      <w:r w:rsidR="00557680" w:rsidRPr="00B719B5">
        <w:rPr>
          <w:rFonts w:asciiTheme="majorHAnsi" w:hAnsiTheme="majorHAnsi"/>
          <w:lang w:val="fr-FR"/>
        </w:rPr>
        <w:t xml:space="preserve"> </w:t>
      </w:r>
      <w:r w:rsidR="00F255F4">
        <w:rPr>
          <w:rFonts w:asciiTheme="majorHAnsi" w:hAnsiTheme="majorHAnsi"/>
          <w:lang w:val="fr-FR"/>
        </w:rPr>
        <w:t>La p</w:t>
      </w:r>
      <w:r w:rsidR="00B719B5" w:rsidRPr="00B719B5">
        <w:rPr>
          <w:rFonts w:asciiTheme="majorHAnsi" w:hAnsiTheme="majorHAnsi"/>
          <w:lang w:val="fr-FR"/>
        </w:rPr>
        <w:t xml:space="preserve">roportion des représentants au chômage est celle qui présente la plus faible </w:t>
      </w:r>
      <w:r w:rsidR="00623993">
        <w:rPr>
          <w:rFonts w:asciiTheme="majorHAnsi" w:hAnsiTheme="majorHAnsi"/>
          <w:lang w:val="fr-FR"/>
        </w:rPr>
        <w:t>expression</w:t>
      </w:r>
      <w:r w:rsidR="00B719B5" w:rsidRPr="00B719B5">
        <w:rPr>
          <w:rFonts w:asciiTheme="majorHAnsi" w:hAnsiTheme="majorHAnsi"/>
          <w:lang w:val="fr-FR"/>
        </w:rPr>
        <w:t xml:space="preserve">, </w:t>
      </w:r>
      <w:r w:rsidR="00623993" w:rsidRPr="00B719B5">
        <w:rPr>
          <w:rFonts w:asciiTheme="majorHAnsi" w:hAnsiTheme="majorHAnsi"/>
          <w:lang w:val="fr-FR"/>
        </w:rPr>
        <w:t>néanmoins</w:t>
      </w:r>
      <w:r w:rsidR="00B719B5" w:rsidRPr="00B719B5">
        <w:rPr>
          <w:rFonts w:asciiTheme="majorHAnsi" w:hAnsiTheme="majorHAnsi"/>
          <w:lang w:val="fr-FR"/>
        </w:rPr>
        <w:t xml:space="preserve"> elle est </w:t>
      </w:r>
      <w:r w:rsidR="00623993" w:rsidRPr="00B719B5">
        <w:rPr>
          <w:rFonts w:asciiTheme="majorHAnsi" w:hAnsiTheme="majorHAnsi"/>
          <w:lang w:val="fr-FR"/>
        </w:rPr>
        <w:t>légèrement</w:t>
      </w:r>
      <w:r w:rsidR="00B719B5" w:rsidRPr="00B719B5">
        <w:rPr>
          <w:rFonts w:asciiTheme="majorHAnsi" w:hAnsiTheme="majorHAnsi"/>
          <w:lang w:val="fr-FR"/>
        </w:rPr>
        <w:t xml:space="preserve"> plus intense entre ceux qui se d</w:t>
      </w:r>
      <w:r w:rsidR="00B719B5">
        <w:rPr>
          <w:rFonts w:asciiTheme="majorHAnsi" w:hAnsiTheme="majorHAnsi"/>
          <w:lang w:val="fr-FR"/>
        </w:rPr>
        <w:t xml:space="preserve">éplacent </w:t>
      </w:r>
      <w:r w:rsidR="00B719B5" w:rsidRPr="009D568E">
        <w:rPr>
          <w:rFonts w:asciiTheme="majorHAnsi" w:hAnsiTheme="majorHAnsi"/>
          <w:lang w:val="fr-FR"/>
        </w:rPr>
        <w:t>de l’étranger</w:t>
      </w:r>
      <w:r w:rsidR="00B719B5">
        <w:rPr>
          <w:rFonts w:asciiTheme="majorHAnsi" w:hAnsiTheme="majorHAnsi"/>
          <w:lang w:val="fr-FR"/>
        </w:rPr>
        <w:t>.</w:t>
      </w:r>
      <w:r w:rsidR="00B719B5" w:rsidRPr="00B719B5">
        <w:rPr>
          <w:rFonts w:asciiTheme="majorHAnsi" w:hAnsiTheme="majorHAnsi"/>
          <w:lang w:val="fr-FR"/>
        </w:rPr>
        <w:t xml:space="preserve"> </w:t>
      </w:r>
    </w:p>
    <w:p w14:paraId="00DA040C" w14:textId="77777777" w:rsidR="00E64111" w:rsidRPr="00B719B5" w:rsidRDefault="00E64111" w:rsidP="00586D00">
      <w:pPr>
        <w:spacing w:after="120"/>
        <w:jc w:val="both"/>
        <w:rPr>
          <w:rFonts w:asciiTheme="majorHAnsi" w:hAnsiTheme="majorHAnsi"/>
          <w:lang w:val="fr-FR"/>
        </w:rPr>
      </w:pPr>
    </w:p>
    <w:p w14:paraId="46D9EF57" w14:textId="77777777" w:rsidR="00AA7AA4" w:rsidRPr="00CC4C2D" w:rsidRDefault="00E64111" w:rsidP="00CC4C2D">
      <w:pPr>
        <w:pStyle w:val="Caption"/>
        <w:rPr>
          <w:rFonts w:ascii="Lucida Grande" w:hAnsi="Lucida Grande" w:cs="Lucida Grande"/>
          <w:b w:val="0"/>
          <w:color w:val="auto"/>
          <w:lang w:val="fr-FR"/>
        </w:rPr>
      </w:pPr>
      <w:r w:rsidRPr="00CC4C2D">
        <w:rPr>
          <w:b w:val="0"/>
          <w:color w:val="auto"/>
          <w:lang w:val="fr-FR"/>
        </w:rPr>
        <w:t xml:space="preserve">Graphique nº </w:t>
      </w:r>
      <w:r w:rsidR="00006281" w:rsidRPr="00CC4C2D">
        <w:rPr>
          <w:b w:val="0"/>
          <w:color w:val="auto"/>
        </w:rPr>
        <w:fldChar w:fldCharType="begin"/>
      </w:r>
      <w:r w:rsidR="00907FE2" w:rsidRPr="00CC4C2D">
        <w:rPr>
          <w:b w:val="0"/>
          <w:color w:val="auto"/>
          <w:lang w:val="fr-FR"/>
        </w:rPr>
        <w:instrText xml:space="preserve"> SEQ Graphique_nº \* ARABIC </w:instrText>
      </w:r>
      <w:r w:rsidR="00006281" w:rsidRPr="00CC4C2D">
        <w:rPr>
          <w:b w:val="0"/>
          <w:color w:val="auto"/>
        </w:rPr>
        <w:fldChar w:fldCharType="separate"/>
      </w:r>
      <w:r w:rsidR="00CC4C2D">
        <w:rPr>
          <w:b w:val="0"/>
          <w:noProof/>
          <w:color w:val="auto"/>
          <w:lang w:val="fr-FR"/>
        </w:rPr>
        <w:t>6</w:t>
      </w:r>
      <w:r w:rsidR="00006281" w:rsidRPr="00CC4C2D">
        <w:rPr>
          <w:b w:val="0"/>
          <w:noProof/>
          <w:color w:val="auto"/>
        </w:rPr>
        <w:fldChar w:fldCharType="end"/>
      </w:r>
      <w:r w:rsidRPr="00CC4C2D">
        <w:rPr>
          <w:b w:val="0"/>
          <w:color w:val="auto"/>
          <w:lang w:val="fr-FR"/>
        </w:rPr>
        <w:t xml:space="preserve">- </w:t>
      </w:r>
      <w:r w:rsidR="00F41A62" w:rsidRPr="00CC4C2D">
        <w:rPr>
          <w:rFonts w:ascii="Lucida Grande" w:hAnsi="Lucida Grande" w:cs="Lucida Grande"/>
          <w:b w:val="0"/>
          <w:color w:val="auto"/>
          <w:lang w:val="fr-FR"/>
        </w:rPr>
        <w:t>Fam</w:t>
      </w:r>
      <w:r w:rsidR="00F06431" w:rsidRPr="00CC4C2D">
        <w:rPr>
          <w:rFonts w:ascii="Lucida Grande" w:hAnsi="Lucida Grande" w:cs="Lucida Grande"/>
          <w:b w:val="0"/>
          <w:color w:val="auto"/>
          <w:lang w:val="fr-FR"/>
        </w:rPr>
        <w:t>illes</w:t>
      </w:r>
      <w:r w:rsidR="00F41A62" w:rsidRPr="00CC4C2D">
        <w:rPr>
          <w:rFonts w:ascii="Lucida Grande" w:hAnsi="Lucida Grande" w:cs="Lucida Grande"/>
          <w:b w:val="0"/>
          <w:color w:val="auto"/>
          <w:lang w:val="fr-FR"/>
        </w:rPr>
        <w:t xml:space="preserve">  </w:t>
      </w:r>
      <w:r w:rsidR="00F06431" w:rsidRPr="00CC4C2D">
        <w:rPr>
          <w:rFonts w:ascii="Lucida Grande" w:hAnsi="Lucida Grande" w:cs="Lucida Grande"/>
          <w:b w:val="0"/>
          <w:color w:val="auto"/>
          <w:lang w:val="fr-FR"/>
        </w:rPr>
        <w:t>ayant changé de résidence en fonction du travail du représentant</w:t>
      </w:r>
    </w:p>
    <w:p w14:paraId="31BFB22D" w14:textId="77777777" w:rsidR="00AA7AA4" w:rsidRDefault="00AA7AA4" w:rsidP="00AA7AA4">
      <w:r>
        <w:rPr>
          <w:noProof/>
          <w:lang w:val="en-US" w:eastAsia="en-US"/>
        </w:rPr>
        <w:drawing>
          <wp:inline distT="0" distB="0" distL="0" distR="0" wp14:anchorId="100DE8A5" wp14:editId="00A2C90D">
            <wp:extent cx="3543300" cy="2171700"/>
            <wp:effectExtent l="0" t="0" r="12700" b="127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22337EC" w14:textId="219E735E" w:rsidR="00E12568" w:rsidRPr="00CC4C2D" w:rsidRDefault="00E12568" w:rsidP="00E12568">
      <w:pPr>
        <w:spacing w:after="120"/>
        <w:jc w:val="both"/>
        <w:rPr>
          <w:rFonts w:asciiTheme="majorHAnsi" w:hAnsiTheme="majorHAnsi"/>
          <w:sz w:val="20"/>
          <w:szCs w:val="20"/>
          <w:lang w:val="fr-FR"/>
        </w:rPr>
      </w:pPr>
      <w:r w:rsidRPr="00CC4C2D">
        <w:rPr>
          <w:rFonts w:asciiTheme="majorHAnsi" w:hAnsiTheme="majorHAnsi"/>
          <w:sz w:val="20"/>
          <w:szCs w:val="20"/>
          <w:lang w:val="fr-FR"/>
        </w:rPr>
        <w:t>Source: INE Recensement de la Population 2011</w:t>
      </w:r>
    </w:p>
    <w:p w14:paraId="3C252ED4" w14:textId="77777777" w:rsidR="00F41A62" w:rsidRPr="00E12568" w:rsidRDefault="00F41A62" w:rsidP="00586D00">
      <w:pPr>
        <w:spacing w:after="120"/>
        <w:jc w:val="both"/>
        <w:rPr>
          <w:rFonts w:asciiTheme="majorHAnsi" w:hAnsiTheme="majorHAnsi"/>
          <w:lang w:val="fr-FR"/>
        </w:rPr>
      </w:pPr>
    </w:p>
    <w:p w14:paraId="7982498A" w14:textId="77777777" w:rsidR="00A97963" w:rsidRPr="009F773B" w:rsidRDefault="00557680" w:rsidP="00586D00">
      <w:pPr>
        <w:spacing w:after="120"/>
        <w:jc w:val="both"/>
        <w:rPr>
          <w:rFonts w:asciiTheme="majorHAnsi" w:hAnsiTheme="majorHAnsi"/>
          <w:lang w:val="fr-FR"/>
        </w:rPr>
      </w:pPr>
      <w:r w:rsidRPr="002A0C6D">
        <w:rPr>
          <w:rFonts w:asciiTheme="majorHAnsi" w:hAnsiTheme="majorHAnsi"/>
          <w:lang w:val="fr-FR"/>
        </w:rPr>
        <w:t xml:space="preserve">Quant à </w:t>
      </w:r>
      <w:r w:rsidR="002A0C6D" w:rsidRPr="002A0C6D">
        <w:rPr>
          <w:rFonts w:asciiTheme="majorHAnsi" w:hAnsiTheme="majorHAnsi"/>
          <w:lang w:val="fr-FR"/>
        </w:rPr>
        <w:t>la taille des familles, ce</w:t>
      </w:r>
      <w:r w:rsidRPr="002A0C6D">
        <w:rPr>
          <w:rFonts w:asciiTheme="majorHAnsi" w:hAnsiTheme="majorHAnsi"/>
          <w:lang w:val="fr-FR"/>
        </w:rPr>
        <w:t xml:space="preserve"> s</w:t>
      </w:r>
      <w:r w:rsidR="003F7F85">
        <w:rPr>
          <w:rFonts w:asciiTheme="majorHAnsi" w:hAnsiTheme="majorHAnsi"/>
          <w:lang w:val="fr-FR"/>
        </w:rPr>
        <w:t>ont les familles</w:t>
      </w:r>
      <w:r w:rsidR="002A0C6D" w:rsidRPr="002A0C6D">
        <w:rPr>
          <w:rFonts w:asciiTheme="majorHAnsi" w:hAnsiTheme="majorHAnsi"/>
          <w:lang w:val="fr-FR"/>
        </w:rPr>
        <w:t xml:space="preserve"> </w:t>
      </w:r>
      <w:r w:rsidR="002A0C6D" w:rsidRPr="00AA7AA4">
        <w:rPr>
          <w:rFonts w:asciiTheme="majorHAnsi" w:hAnsiTheme="majorHAnsi"/>
          <w:lang w:val="fr-FR"/>
        </w:rPr>
        <w:t>de taille plus réduite</w:t>
      </w:r>
      <w:r w:rsidR="002A0C6D" w:rsidRPr="002A0C6D">
        <w:rPr>
          <w:rFonts w:asciiTheme="majorHAnsi" w:hAnsiTheme="majorHAnsi"/>
          <w:lang w:val="fr-FR"/>
        </w:rPr>
        <w:t xml:space="preserve"> qui se déplacent le plus</w:t>
      </w:r>
      <w:r w:rsidRPr="002A0C6D">
        <w:rPr>
          <w:rFonts w:asciiTheme="majorHAnsi" w:hAnsiTheme="majorHAnsi"/>
          <w:lang w:val="fr-FR"/>
        </w:rPr>
        <w:t xml:space="preserve">. </w:t>
      </w:r>
      <w:r w:rsidR="009F773B" w:rsidRPr="009F773B">
        <w:rPr>
          <w:rFonts w:asciiTheme="majorHAnsi" w:hAnsiTheme="majorHAnsi"/>
          <w:lang w:val="fr-FR"/>
        </w:rPr>
        <w:t>Ce sont les familles composées de deux</w:t>
      </w:r>
      <w:r w:rsidR="009F773B">
        <w:rPr>
          <w:rFonts w:asciiTheme="majorHAnsi" w:hAnsiTheme="majorHAnsi"/>
          <w:lang w:val="fr-FR"/>
        </w:rPr>
        <w:t xml:space="preserve"> </w:t>
      </w:r>
      <w:r w:rsidR="009F773B" w:rsidRPr="009F773B">
        <w:rPr>
          <w:rFonts w:asciiTheme="majorHAnsi" w:hAnsiTheme="majorHAnsi"/>
          <w:lang w:val="fr-FR"/>
        </w:rPr>
        <w:t>personnes qui se sont dépl</w:t>
      </w:r>
      <w:r w:rsidR="009F773B">
        <w:rPr>
          <w:rFonts w:asciiTheme="majorHAnsi" w:hAnsiTheme="majorHAnsi"/>
          <w:lang w:val="fr-FR"/>
        </w:rPr>
        <w:t>a</w:t>
      </w:r>
      <w:r w:rsidR="009F773B" w:rsidRPr="009F773B">
        <w:rPr>
          <w:rFonts w:asciiTheme="majorHAnsi" w:hAnsiTheme="majorHAnsi"/>
          <w:lang w:val="fr-FR"/>
        </w:rPr>
        <w:t>c</w:t>
      </w:r>
      <w:r w:rsidR="009F773B">
        <w:rPr>
          <w:rFonts w:asciiTheme="majorHAnsi" w:hAnsiTheme="majorHAnsi"/>
          <w:lang w:val="fr-FR"/>
        </w:rPr>
        <w:t>é</w:t>
      </w:r>
      <w:r w:rsidR="009F773B" w:rsidRPr="009F773B">
        <w:rPr>
          <w:rFonts w:asciiTheme="majorHAnsi" w:hAnsiTheme="majorHAnsi"/>
          <w:lang w:val="fr-FR"/>
        </w:rPr>
        <w:t>e</w:t>
      </w:r>
      <w:r w:rsidR="009F773B">
        <w:rPr>
          <w:rFonts w:asciiTheme="majorHAnsi" w:hAnsiTheme="majorHAnsi"/>
          <w:lang w:val="fr-FR"/>
        </w:rPr>
        <w:t>s</w:t>
      </w:r>
      <w:r w:rsidR="009F773B" w:rsidRPr="009F773B">
        <w:rPr>
          <w:rFonts w:asciiTheme="majorHAnsi" w:hAnsiTheme="majorHAnsi"/>
          <w:lang w:val="fr-FR"/>
        </w:rPr>
        <w:t xml:space="preserve"> le plus</w:t>
      </w:r>
      <w:r w:rsidR="009F773B">
        <w:rPr>
          <w:rFonts w:asciiTheme="majorHAnsi" w:hAnsiTheme="majorHAnsi"/>
          <w:lang w:val="fr-FR"/>
        </w:rPr>
        <w:t>,</w:t>
      </w:r>
      <w:r w:rsidR="009F773B" w:rsidRPr="009F773B">
        <w:rPr>
          <w:rFonts w:asciiTheme="majorHAnsi" w:hAnsiTheme="majorHAnsi"/>
          <w:lang w:val="fr-FR"/>
        </w:rPr>
        <w:t xml:space="preserve"> suivi</w:t>
      </w:r>
      <w:r w:rsidR="009F773B">
        <w:rPr>
          <w:rFonts w:asciiTheme="majorHAnsi" w:hAnsiTheme="majorHAnsi"/>
          <w:lang w:val="fr-FR"/>
        </w:rPr>
        <w:t>es</w:t>
      </w:r>
      <w:r w:rsidR="009F773B" w:rsidRPr="009F773B">
        <w:rPr>
          <w:rFonts w:asciiTheme="majorHAnsi" w:hAnsiTheme="majorHAnsi"/>
          <w:lang w:val="fr-FR"/>
        </w:rPr>
        <w:t xml:space="preserve"> par les ménages unipersonnels </w:t>
      </w:r>
      <w:r w:rsidR="009F773B">
        <w:rPr>
          <w:rFonts w:asciiTheme="majorHAnsi" w:hAnsiTheme="majorHAnsi"/>
          <w:lang w:val="fr-FR"/>
        </w:rPr>
        <w:t>e</w:t>
      </w:r>
      <w:r w:rsidR="009F773B" w:rsidRPr="009F773B">
        <w:rPr>
          <w:rFonts w:asciiTheme="majorHAnsi" w:hAnsiTheme="majorHAnsi"/>
          <w:lang w:val="fr-FR"/>
        </w:rPr>
        <w:t>t celles constitu</w:t>
      </w:r>
      <w:r w:rsidR="009F773B">
        <w:rPr>
          <w:rFonts w:asciiTheme="majorHAnsi" w:hAnsiTheme="majorHAnsi"/>
          <w:lang w:val="fr-FR"/>
        </w:rPr>
        <w:t>ées par 3 personnes.</w:t>
      </w:r>
      <w:r w:rsidRPr="009F773B">
        <w:rPr>
          <w:rFonts w:asciiTheme="majorHAnsi" w:hAnsiTheme="majorHAnsi"/>
          <w:lang w:val="fr-FR"/>
        </w:rPr>
        <w:t xml:space="preserve"> </w:t>
      </w:r>
      <w:r w:rsidR="009F773B" w:rsidRPr="009F773B">
        <w:rPr>
          <w:rFonts w:asciiTheme="majorHAnsi" w:hAnsiTheme="majorHAnsi"/>
          <w:lang w:val="fr-FR"/>
        </w:rPr>
        <w:t>La proportion des familles</w:t>
      </w:r>
      <w:r w:rsidR="003F7F85">
        <w:rPr>
          <w:rFonts w:asciiTheme="majorHAnsi" w:hAnsiTheme="majorHAnsi"/>
          <w:lang w:val="fr-FR"/>
        </w:rPr>
        <w:t xml:space="preserve"> de</w:t>
      </w:r>
      <w:r w:rsidR="009F773B" w:rsidRPr="009F773B">
        <w:rPr>
          <w:rFonts w:asciiTheme="majorHAnsi" w:hAnsiTheme="majorHAnsi"/>
          <w:lang w:val="fr-FR"/>
        </w:rPr>
        <w:t xml:space="preserve"> </w:t>
      </w:r>
      <w:r w:rsidR="001C48CC" w:rsidRPr="009F773B">
        <w:rPr>
          <w:rFonts w:asciiTheme="majorHAnsi" w:hAnsiTheme="majorHAnsi"/>
          <w:lang w:val="fr-FR"/>
        </w:rPr>
        <w:t xml:space="preserve">cinq personnes </w:t>
      </w:r>
      <w:r w:rsidR="009F773B" w:rsidRPr="009F773B">
        <w:rPr>
          <w:rFonts w:asciiTheme="majorHAnsi" w:hAnsiTheme="majorHAnsi"/>
          <w:lang w:val="fr-FR"/>
        </w:rPr>
        <w:t>qui se sont déplacées</w:t>
      </w:r>
      <w:r w:rsidR="001C48CC">
        <w:rPr>
          <w:rFonts w:asciiTheme="majorHAnsi" w:hAnsiTheme="majorHAnsi"/>
          <w:lang w:val="fr-FR"/>
        </w:rPr>
        <w:t>,</w:t>
      </w:r>
      <w:r w:rsidR="009F773B" w:rsidRPr="009F773B">
        <w:rPr>
          <w:rFonts w:asciiTheme="majorHAnsi" w:hAnsiTheme="majorHAnsi"/>
          <w:lang w:val="fr-FR"/>
        </w:rPr>
        <w:t xml:space="preserve"> </w:t>
      </w:r>
      <w:r w:rsidR="009F773B">
        <w:rPr>
          <w:rFonts w:asciiTheme="majorHAnsi" w:hAnsiTheme="majorHAnsi"/>
          <w:lang w:val="fr-FR"/>
        </w:rPr>
        <w:t>est plus élevée parmi celles qui sont venues de l’étranger.</w:t>
      </w:r>
      <w:r w:rsidR="00E77D89" w:rsidRPr="009F773B">
        <w:rPr>
          <w:rFonts w:asciiTheme="majorHAnsi" w:hAnsiTheme="majorHAnsi"/>
          <w:lang w:val="fr-FR"/>
        </w:rPr>
        <w:t xml:space="preserve"> </w:t>
      </w:r>
    </w:p>
    <w:p w14:paraId="164C1AC3" w14:textId="77777777" w:rsidR="00A97963" w:rsidRPr="009F773B" w:rsidRDefault="00A97963" w:rsidP="00586D00">
      <w:pPr>
        <w:spacing w:after="120"/>
        <w:jc w:val="both"/>
        <w:rPr>
          <w:rFonts w:asciiTheme="majorHAnsi" w:hAnsiTheme="majorHAnsi"/>
          <w:lang w:val="fr-FR"/>
        </w:rPr>
      </w:pPr>
    </w:p>
    <w:p w14:paraId="00AB6669" w14:textId="77777777" w:rsidR="00A97963" w:rsidRPr="00CC4C2D" w:rsidRDefault="00CC4C2D" w:rsidP="00CC4C2D">
      <w:pPr>
        <w:pStyle w:val="Caption"/>
        <w:rPr>
          <w:rFonts w:asciiTheme="majorHAnsi" w:hAnsiTheme="majorHAnsi"/>
          <w:b w:val="0"/>
          <w:color w:val="auto"/>
          <w:lang w:val="fr-FR"/>
        </w:rPr>
      </w:pPr>
      <w:proofErr w:type="spellStart"/>
      <w:r w:rsidRPr="00CC4C2D">
        <w:rPr>
          <w:b w:val="0"/>
          <w:color w:val="auto"/>
        </w:rPr>
        <w:t>Graphique</w:t>
      </w:r>
      <w:proofErr w:type="spellEnd"/>
      <w:r w:rsidRPr="00CC4C2D">
        <w:rPr>
          <w:b w:val="0"/>
          <w:color w:val="auto"/>
        </w:rPr>
        <w:t xml:space="preserve"> nº </w:t>
      </w:r>
      <w:r w:rsidRPr="00CC4C2D">
        <w:rPr>
          <w:b w:val="0"/>
          <w:color w:val="auto"/>
        </w:rPr>
        <w:fldChar w:fldCharType="begin"/>
      </w:r>
      <w:r w:rsidRPr="00CC4C2D">
        <w:rPr>
          <w:b w:val="0"/>
          <w:color w:val="auto"/>
        </w:rPr>
        <w:instrText xml:space="preserve"> SEQ Graphique_nº \* ARABIC </w:instrText>
      </w:r>
      <w:r w:rsidRPr="00CC4C2D">
        <w:rPr>
          <w:b w:val="0"/>
          <w:color w:val="auto"/>
        </w:rPr>
        <w:fldChar w:fldCharType="separate"/>
      </w:r>
      <w:r w:rsidRPr="00CC4C2D">
        <w:rPr>
          <w:b w:val="0"/>
          <w:noProof/>
          <w:color w:val="auto"/>
        </w:rPr>
        <w:t>7</w:t>
      </w:r>
      <w:r w:rsidRPr="00CC4C2D">
        <w:rPr>
          <w:b w:val="0"/>
          <w:color w:val="auto"/>
        </w:rPr>
        <w:fldChar w:fldCharType="end"/>
      </w:r>
      <w:r w:rsidRPr="00CC4C2D">
        <w:rPr>
          <w:b w:val="0"/>
          <w:color w:val="auto"/>
        </w:rPr>
        <w:t xml:space="preserve"> </w:t>
      </w:r>
      <w:r w:rsidR="00E12568" w:rsidRPr="00CC4C2D">
        <w:rPr>
          <w:rFonts w:asciiTheme="majorHAnsi" w:hAnsiTheme="majorHAnsi" w:cs="Lucida Grande"/>
          <w:b w:val="0"/>
          <w:color w:val="auto"/>
          <w:lang w:val="fr-FR"/>
        </w:rPr>
        <w:t>Familles qui ont changé de résidence en fonction de la taille</w:t>
      </w:r>
      <w:r w:rsidR="00E64111" w:rsidRPr="00CC4C2D">
        <w:rPr>
          <w:rFonts w:asciiTheme="majorHAnsi" w:hAnsiTheme="majorHAnsi" w:cs="Lucida Grande"/>
          <w:b w:val="0"/>
          <w:color w:val="auto"/>
          <w:lang w:val="fr-FR"/>
        </w:rPr>
        <w:t xml:space="preserve"> </w:t>
      </w:r>
    </w:p>
    <w:p w14:paraId="4A848D21" w14:textId="77777777" w:rsidR="00D113D4" w:rsidRDefault="00D113D4" w:rsidP="00586D00">
      <w:pPr>
        <w:spacing w:after="120"/>
        <w:jc w:val="both"/>
        <w:rPr>
          <w:rFonts w:asciiTheme="majorHAnsi" w:hAnsiTheme="majorHAnsi"/>
          <w:lang w:val="fr-FR"/>
        </w:rPr>
      </w:pPr>
      <w:r>
        <w:rPr>
          <w:noProof/>
          <w:lang w:val="en-US" w:eastAsia="en-US"/>
        </w:rPr>
        <w:drawing>
          <wp:inline distT="0" distB="0" distL="0" distR="0" wp14:anchorId="0007B9AA" wp14:editId="326D2E85">
            <wp:extent cx="4343400" cy="2696210"/>
            <wp:effectExtent l="0" t="0" r="25400" b="2159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A2713AA" w14:textId="77777777" w:rsidR="00CC4C2D" w:rsidRPr="00F255F4" w:rsidRDefault="00D64E05" w:rsidP="00586D00">
      <w:pPr>
        <w:spacing w:after="120"/>
        <w:jc w:val="both"/>
        <w:rPr>
          <w:rFonts w:asciiTheme="majorHAnsi" w:hAnsiTheme="majorHAnsi"/>
          <w:sz w:val="20"/>
          <w:szCs w:val="20"/>
          <w:lang w:val="fr-FR"/>
        </w:rPr>
      </w:pPr>
      <w:r w:rsidRPr="00CC4C2D">
        <w:rPr>
          <w:rFonts w:asciiTheme="majorHAnsi" w:hAnsiTheme="majorHAnsi"/>
          <w:sz w:val="20"/>
          <w:szCs w:val="20"/>
          <w:lang w:val="fr-FR"/>
        </w:rPr>
        <w:t>Source: INE Recensement de la Population 2011</w:t>
      </w:r>
    </w:p>
    <w:p w14:paraId="282A3C8C" w14:textId="77777777" w:rsidR="00612344" w:rsidRPr="000142FD" w:rsidRDefault="00612344" w:rsidP="00586D00">
      <w:pPr>
        <w:spacing w:after="120"/>
        <w:jc w:val="both"/>
        <w:rPr>
          <w:rFonts w:asciiTheme="majorHAnsi" w:hAnsiTheme="majorHAnsi"/>
          <w:lang w:val="en-GB"/>
        </w:rPr>
      </w:pPr>
    </w:p>
    <w:p w14:paraId="77618DE3" w14:textId="77777777" w:rsidR="00A77AB5" w:rsidRPr="000142FD" w:rsidRDefault="00A77AB5" w:rsidP="00586D00">
      <w:pPr>
        <w:spacing w:after="120"/>
        <w:jc w:val="both"/>
        <w:rPr>
          <w:rFonts w:asciiTheme="majorHAnsi" w:hAnsiTheme="majorHAnsi"/>
          <w:lang w:val="en-GB"/>
        </w:rPr>
      </w:pPr>
    </w:p>
    <w:p w14:paraId="748D4528" w14:textId="77777777" w:rsidR="00A77AB5" w:rsidRPr="00BE419F" w:rsidRDefault="00E92A1C" w:rsidP="00A77AB5">
      <w:pPr>
        <w:spacing w:after="120"/>
        <w:jc w:val="both"/>
        <w:rPr>
          <w:rFonts w:asciiTheme="majorHAnsi" w:hAnsiTheme="majorHAnsi"/>
          <w:lang w:val="fr-FR"/>
        </w:rPr>
      </w:pPr>
      <w:r w:rsidRPr="00BE419F">
        <w:rPr>
          <w:rFonts w:asciiTheme="majorHAnsi" w:hAnsiTheme="majorHAnsi"/>
          <w:lang w:val="fr-FR"/>
        </w:rPr>
        <w:t xml:space="preserve"> </w:t>
      </w:r>
      <w:r w:rsidR="00692BC8">
        <w:rPr>
          <w:rFonts w:asciiTheme="majorHAnsi" w:hAnsiTheme="majorHAnsi"/>
          <w:lang w:val="fr-FR"/>
        </w:rPr>
        <w:t>3. Impact</w:t>
      </w:r>
      <w:r w:rsidR="00A831CF" w:rsidRPr="00BE419F">
        <w:rPr>
          <w:rFonts w:asciiTheme="majorHAnsi" w:hAnsiTheme="majorHAnsi"/>
          <w:lang w:val="fr-FR"/>
        </w:rPr>
        <w:t>s</w:t>
      </w:r>
      <w:r w:rsidR="00A77AB5" w:rsidRPr="00BE419F">
        <w:rPr>
          <w:rFonts w:asciiTheme="majorHAnsi" w:hAnsiTheme="majorHAnsi"/>
          <w:lang w:val="fr-FR"/>
        </w:rPr>
        <w:t xml:space="preserve"> familia</w:t>
      </w:r>
      <w:r w:rsidR="00F06431">
        <w:rPr>
          <w:rFonts w:asciiTheme="majorHAnsi" w:hAnsiTheme="majorHAnsi"/>
          <w:lang w:val="fr-FR"/>
        </w:rPr>
        <w:t>ux</w:t>
      </w:r>
      <w:r w:rsidR="00A77AB5" w:rsidRPr="00BE419F">
        <w:rPr>
          <w:rFonts w:asciiTheme="majorHAnsi" w:hAnsiTheme="majorHAnsi"/>
          <w:lang w:val="fr-FR"/>
        </w:rPr>
        <w:t xml:space="preserve"> d</w:t>
      </w:r>
      <w:r w:rsidR="00B8049B" w:rsidRPr="00BE419F">
        <w:rPr>
          <w:rFonts w:asciiTheme="majorHAnsi" w:hAnsiTheme="majorHAnsi"/>
          <w:lang w:val="fr-FR"/>
        </w:rPr>
        <w:t>e</w:t>
      </w:r>
      <w:r w:rsidR="00A77AB5" w:rsidRPr="00BE419F">
        <w:rPr>
          <w:rFonts w:asciiTheme="majorHAnsi" w:hAnsiTheme="majorHAnsi"/>
          <w:lang w:val="fr-FR"/>
        </w:rPr>
        <w:t xml:space="preserve">s flux </w:t>
      </w:r>
    </w:p>
    <w:p w14:paraId="6AA30DEF" w14:textId="77777777" w:rsidR="00B8049B" w:rsidRPr="00585A67" w:rsidRDefault="00B8049B" w:rsidP="00B8049B">
      <w:pPr>
        <w:jc w:val="both"/>
        <w:rPr>
          <w:rFonts w:asciiTheme="majorHAnsi" w:hAnsiTheme="majorHAnsi"/>
          <w:lang w:val="fr-FR"/>
        </w:rPr>
      </w:pPr>
      <w:r w:rsidRPr="00585A67">
        <w:rPr>
          <w:rFonts w:asciiTheme="majorHAnsi" w:hAnsiTheme="majorHAnsi"/>
          <w:lang w:val="fr-FR"/>
        </w:rPr>
        <w:t>Bien qu’au niveau du pays</w:t>
      </w:r>
      <w:r w:rsidR="00BE419F">
        <w:rPr>
          <w:rFonts w:asciiTheme="majorHAnsi" w:hAnsiTheme="majorHAnsi"/>
          <w:lang w:val="fr-FR"/>
        </w:rPr>
        <w:t>,</w:t>
      </w:r>
      <w:r w:rsidRPr="00585A67">
        <w:rPr>
          <w:rFonts w:asciiTheme="majorHAnsi" w:hAnsiTheme="majorHAnsi"/>
          <w:lang w:val="fr-FR"/>
        </w:rPr>
        <w:t xml:space="preserve"> il ne soit pas possible </w:t>
      </w:r>
      <w:r w:rsidRPr="004377D6">
        <w:rPr>
          <w:rFonts w:asciiTheme="majorHAnsi" w:hAnsiTheme="majorHAnsi"/>
          <w:lang w:val="fr-FR"/>
        </w:rPr>
        <w:t xml:space="preserve">de trouver une association </w:t>
      </w:r>
      <w:r w:rsidRPr="00585A67">
        <w:rPr>
          <w:rFonts w:asciiTheme="majorHAnsi" w:hAnsiTheme="majorHAnsi"/>
          <w:lang w:val="fr-FR"/>
        </w:rPr>
        <w:t>statistiquement significative entre la taille moyenne des familles et la mobilité (valeur p&gt;0.055</w:t>
      </w:r>
      <w:r w:rsidR="009F773B">
        <w:rPr>
          <w:rFonts w:asciiTheme="majorHAnsi" w:hAnsiTheme="majorHAnsi"/>
          <w:lang w:val="fr-FR"/>
        </w:rPr>
        <w:t>), avec l</w:t>
      </w:r>
      <w:r w:rsidRPr="00585A67">
        <w:rPr>
          <w:rFonts w:asciiTheme="majorHAnsi" w:hAnsiTheme="majorHAnsi"/>
          <w:lang w:val="fr-FR"/>
        </w:rPr>
        <w:t>es différences d’échelle territoriale d’analys</w:t>
      </w:r>
      <w:r w:rsidR="00AA7A17">
        <w:rPr>
          <w:rFonts w:asciiTheme="majorHAnsi" w:hAnsiTheme="majorHAnsi"/>
          <w:lang w:val="fr-FR"/>
        </w:rPr>
        <w:t>e,</w:t>
      </w:r>
      <w:r w:rsidRPr="00585A67">
        <w:rPr>
          <w:rFonts w:asciiTheme="majorHAnsi" w:hAnsiTheme="majorHAnsi"/>
          <w:lang w:val="fr-FR"/>
        </w:rPr>
        <w:t xml:space="preserve"> il devient possible d’établir </w:t>
      </w:r>
      <w:r w:rsidRPr="00D050D2">
        <w:rPr>
          <w:rFonts w:asciiTheme="majorHAnsi" w:hAnsiTheme="majorHAnsi"/>
          <w:lang w:val="fr-FR"/>
        </w:rPr>
        <w:t>certaines</w:t>
      </w:r>
      <w:r w:rsidRPr="00585A67">
        <w:rPr>
          <w:rFonts w:asciiTheme="majorHAnsi" w:hAnsiTheme="majorHAnsi"/>
          <w:lang w:val="fr-FR"/>
        </w:rPr>
        <w:t xml:space="preserve"> associations. </w:t>
      </w:r>
    </w:p>
    <w:p w14:paraId="0C5A7427" w14:textId="77777777" w:rsidR="00A77AB5" w:rsidRPr="007909B5" w:rsidRDefault="00B8049B" w:rsidP="00755E59">
      <w:pPr>
        <w:spacing w:after="120"/>
        <w:jc w:val="both"/>
        <w:rPr>
          <w:rFonts w:asciiTheme="majorHAnsi" w:hAnsiTheme="majorHAnsi"/>
          <w:lang w:val="fr-FR"/>
        </w:rPr>
      </w:pPr>
      <w:r w:rsidRPr="00893D84">
        <w:rPr>
          <w:rFonts w:asciiTheme="majorHAnsi" w:hAnsiTheme="majorHAnsi"/>
          <w:lang w:val="fr-FR"/>
        </w:rPr>
        <w:t xml:space="preserve">Dans l’ensemble, compte tenu de la totalité des </w:t>
      </w:r>
      <w:r w:rsidR="000036E8">
        <w:rPr>
          <w:rFonts w:asciiTheme="majorHAnsi" w:hAnsiTheme="majorHAnsi"/>
          <w:lang w:val="fr-FR"/>
        </w:rPr>
        <w:t>municipalités</w:t>
      </w:r>
      <w:r w:rsidRPr="00893D84">
        <w:rPr>
          <w:rFonts w:asciiTheme="majorHAnsi" w:hAnsiTheme="majorHAnsi"/>
          <w:lang w:val="fr-FR"/>
        </w:rPr>
        <w:t xml:space="preserve">, on constate une corrélation positive significative </w:t>
      </w:r>
      <w:r w:rsidR="00BE419F">
        <w:rPr>
          <w:rFonts w:asciiTheme="majorHAnsi" w:hAnsiTheme="majorHAnsi"/>
          <w:lang w:val="fr-FR"/>
        </w:rPr>
        <w:t>entre le taux de varia</w:t>
      </w:r>
      <w:r w:rsidR="000036E8">
        <w:rPr>
          <w:rFonts w:asciiTheme="majorHAnsi" w:hAnsiTheme="majorHAnsi"/>
          <w:lang w:val="fr-FR"/>
        </w:rPr>
        <w:t>tion du nombre de familles et leur</w:t>
      </w:r>
      <w:r w:rsidR="00BE419F">
        <w:rPr>
          <w:rFonts w:asciiTheme="majorHAnsi" w:hAnsiTheme="majorHAnsi"/>
          <w:lang w:val="fr-FR"/>
        </w:rPr>
        <w:t xml:space="preserve"> taille moyenne </w:t>
      </w:r>
      <w:r w:rsidR="00387483" w:rsidRPr="00893D84">
        <w:rPr>
          <w:rFonts w:asciiTheme="majorHAnsi" w:hAnsiTheme="majorHAnsi"/>
          <w:lang w:val="fr-FR"/>
        </w:rPr>
        <w:t>(Pearson=0,395, valeur p = 0,000)</w:t>
      </w:r>
      <w:r w:rsidRPr="00893D84">
        <w:rPr>
          <w:rFonts w:asciiTheme="majorHAnsi" w:hAnsiTheme="majorHAnsi"/>
          <w:lang w:val="fr-FR"/>
        </w:rPr>
        <w:t xml:space="preserve">, </w:t>
      </w:r>
      <w:r>
        <w:rPr>
          <w:rFonts w:asciiTheme="majorHAnsi" w:hAnsiTheme="majorHAnsi"/>
          <w:lang w:val="fr-FR"/>
        </w:rPr>
        <w:t xml:space="preserve">même si </w:t>
      </w:r>
      <w:r w:rsidR="00BE419F">
        <w:rPr>
          <w:rFonts w:asciiTheme="majorHAnsi" w:hAnsiTheme="majorHAnsi"/>
          <w:lang w:val="fr-FR"/>
        </w:rPr>
        <w:t>c</w:t>
      </w:r>
      <w:r>
        <w:rPr>
          <w:rFonts w:asciiTheme="majorHAnsi" w:hAnsiTheme="majorHAnsi"/>
          <w:lang w:val="fr-FR"/>
        </w:rPr>
        <w:t>elle</w:t>
      </w:r>
      <w:r w:rsidR="00BE419F">
        <w:rPr>
          <w:rFonts w:asciiTheme="majorHAnsi" w:hAnsiTheme="majorHAnsi"/>
          <w:lang w:val="fr-FR"/>
        </w:rPr>
        <w:t>-ci</w:t>
      </w:r>
      <w:r>
        <w:rPr>
          <w:rFonts w:asciiTheme="majorHAnsi" w:hAnsiTheme="majorHAnsi"/>
          <w:lang w:val="fr-FR"/>
        </w:rPr>
        <w:t xml:space="preserve"> n’est pas particulièrement forte</w:t>
      </w:r>
      <w:r w:rsidR="00BE419F">
        <w:rPr>
          <w:rFonts w:asciiTheme="majorHAnsi" w:hAnsiTheme="majorHAnsi"/>
          <w:lang w:val="fr-FR"/>
        </w:rPr>
        <w:t>.</w:t>
      </w:r>
      <w:r w:rsidR="00A77AB5" w:rsidRPr="00BE419F">
        <w:rPr>
          <w:rFonts w:asciiTheme="majorHAnsi" w:hAnsiTheme="majorHAnsi"/>
          <w:lang w:val="fr-FR"/>
        </w:rPr>
        <w:t xml:space="preserve"> </w:t>
      </w:r>
      <w:r w:rsidR="00A77AB5" w:rsidRPr="00552430">
        <w:rPr>
          <w:rFonts w:asciiTheme="majorHAnsi" w:hAnsiTheme="majorHAnsi"/>
          <w:lang w:val="fr-FR"/>
        </w:rPr>
        <w:t>A</w:t>
      </w:r>
      <w:r w:rsidR="00BE419F" w:rsidRPr="00552430">
        <w:rPr>
          <w:rFonts w:asciiTheme="majorHAnsi" w:hAnsiTheme="majorHAnsi"/>
          <w:lang w:val="fr-FR"/>
        </w:rPr>
        <w:t xml:space="preserve">insi, on </w:t>
      </w:r>
      <w:r w:rsidR="00C009AF" w:rsidRPr="00552430">
        <w:rPr>
          <w:rFonts w:asciiTheme="majorHAnsi" w:hAnsiTheme="majorHAnsi"/>
          <w:lang w:val="fr-FR"/>
        </w:rPr>
        <w:t>prévoit</w:t>
      </w:r>
      <w:r w:rsidR="00BE419F" w:rsidRPr="00552430">
        <w:rPr>
          <w:rFonts w:asciiTheme="majorHAnsi" w:hAnsiTheme="majorHAnsi"/>
          <w:lang w:val="fr-FR"/>
        </w:rPr>
        <w:t xml:space="preserve"> que dans les </w:t>
      </w:r>
      <w:r w:rsidR="000036E8">
        <w:rPr>
          <w:rFonts w:asciiTheme="majorHAnsi" w:hAnsiTheme="majorHAnsi"/>
          <w:lang w:val="fr-FR"/>
        </w:rPr>
        <w:t>municipalités</w:t>
      </w:r>
      <w:r w:rsidR="00BE419F" w:rsidRPr="00552430">
        <w:rPr>
          <w:rFonts w:asciiTheme="majorHAnsi" w:hAnsiTheme="majorHAnsi"/>
          <w:lang w:val="fr-FR"/>
        </w:rPr>
        <w:t xml:space="preserve"> où le taux de variation des familles </w:t>
      </w:r>
      <w:r w:rsidR="00C009AF" w:rsidRPr="00552430">
        <w:rPr>
          <w:rFonts w:asciiTheme="majorHAnsi" w:hAnsiTheme="majorHAnsi"/>
          <w:lang w:val="fr-FR"/>
        </w:rPr>
        <w:t>était</w:t>
      </w:r>
      <w:r w:rsidR="00DA183E">
        <w:rPr>
          <w:rFonts w:asciiTheme="majorHAnsi" w:hAnsiTheme="majorHAnsi"/>
          <w:lang w:val="fr-FR"/>
        </w:rPr>
        <w:t xml:space="preserve"> plus élevé entre 2001 et 2011,</w:t>
      </w:r>
      <w:r w:rsidR="00BE419F" w:rsidRPr="00552430">
        <w:rPr>
          <w:rFonts w:asciiTheme="majorHAnsi" w:hAnsiTheme="majorHAnsi"/>
          <w:lang w:val="fr-FR"/>
        </w:rPr>
        <w:t xml:space="preserve"> il </w:t>
      </w:r>
      <w:r w:rsidR="00552430" w:rsidRPr="00552430">
        <w:rPr>
          <w:rFonts w:asciiTheme="majorHAnsi" w:hAnsiTheme="majorHAnsi"/>
          <w:lang w:val="fr-FR"/>
        </w:rPr>
        <w:t xml:space="preserve">y a une </w:t>
      </w:r>
      <w:r w:rsidR="00387483" w:rsidRPr="00552430">
        <w:rPr>
          <w:rFonts w:asciiTheme="majorHAnsi" w:hAnsiTheme="majorHAnsi"/>
          <w:lang w:val="fr-FR"/>
        </w:rPr>
        <w:t>légère</w:t>
      </w:r>
      <w:r w:rsidR="00552430" w:rsidRPr="00552430">
        <w:rPr>
          <w:rFonts w:asciiTheme="majorHAnsi" w:hAnsiTheme="majorHAnsi"/>
          <w:lang w:val="fr-FR"/>
        </w:rPr>
        <w:t xml:space="preserve"> tendance</w:t>
      </w:r>
      <w:r w:rsidR="00BE419F" w:rsidRPr="00552430">
        <w:rPr>
          <w:rFonts w:asciiTheme="majorHAnsi" w:hAnsiTheme="majorHAnsi"/>
          <w:lang w:val="fr-FR"/>
        </w:rPr>
        <w:t xml:space="preserve"> </w:t>
      </w:r>
      <w:r w:rsidR="00552430" w:rsidRPr="00552430">
        <w:rPr>
          <w:rFonts w:asciiTheme="majorHAnsi" w:hAnsiTheme="majorHAnsi"/>
          <w:lang w:val="fr-FR"/>
        </w:rPr>
        <w:t>à l’augmentation de la taille moyenne des familles.</w:t>
      </w:r>
      <w:r w:rsidR="00A77AB5" w:rsidRPr="00552430">
        <w:rPr>
          <w:rFonts w:asciiTheme="majorHAnsi" w:hAnsiTheme="majorHAnsi"/>
          <w:lang w:val="fr-FR"/>
        </w:rPr>
        <w:t xml:space="preserve"> </w:t>
      </w:r>
      <w:r w:rsidR="00552430" w:rsidRPr="00552430">
        <w:rPr>
          <w:rFonts w:asciiTheme="majorHAnsi" w:hAnsiTheme="majorHAnsi"/>
          <w:lang w:val="fr-FR"/>
        </w:rPr>
        <w:t>Il est à soulign</w:t>
      </w:r>
      <w:r w:rsidR="00387483">
        <w:rPr>
          <w:rFonts w:asciiTheme="majorHAnsi" w:hAnsiTheme="majorHAnsi"/>
          <w:lang w:val="fr-FR"/>
        </w:rPr>
        <w:t>er</w:t>
      </w:r>
      <w:r w:rsidR="00552430" w:rsidRPr="00552430">
        <w:rPr>
          <w:rFonts w:asciiTheme="majorHAnsi" w:hAnsiTheme="majorHAnsi"/>
          <w:lang w:val="fr-FR"/>
        </w:rPr>
        <w:t xml:space="preserve"> que les données mettent en évidence qu’une telle association se maintient similaire quand on reti</w:t>
      </w:r>
      <w:r w:rsidR="00387483">
        <w:rPr>
          <w:rFonts w:asciiTheme="majorHAnsi" w:hAnsiTheme="majorHAnsi"/>
          <w:lang w:val="fr-FR"/>
        </w:rPr>
        <w:t>r</w:t>
      </w:r>
      <w:r w:rsidR="00552430" w:rsidRPr="00552430">
        <w:rPr>
          <w:rFonts w:asciiTheme="majorHAnsi" w:hAnsiTheme="majorHAnsi"/>
          <w:lang w:val="fr-FR"/>
        </w:rPr>
        <w:t xml:space="preserve">e les 4 ou les 22 </w:t>
      </w:r>
      <w:r w:rsidR="000036E8">
        <w:rPr>
          <w:rFonts w:asciiTheme="majorHAnsi" w:hAnsiTheme="majorHAnsi"/>
          <w:lang w:val="fr-FR"/>
        </w:rPr>
        <w:t>municipalités</w:t>
      </w:r>
      <w:r w:rsidR="00552430">
        <w:rPr>
          <w:rFonts w:asciiTheme="majorHAnsi" w:hAnsiTheme="majorHAnsi"/>
          <w:lang w:val="fr-FR"/>
        </w:rPr>
        <w:t xml:space="preserve"> ayant le plus grand nombre</w:t>
      </w:r>
      <w:r w:rsidR="007166FB">
        <w:rPr>
          <w:rFonts w:asciiTheme="majorHAnsi" w:hAnsiTheme="majorHAnsi"/>
          <w:lang w:val="fr-FR"/>
        </w:rPr>
        <w:t xml:space="preserve"> de familles </w:t>
      </w:r>
      <w:r w:rsidR="00A77AB5" w:rsidRPr="00552430">
        <w:rPr>
          <w:rFonts w:asciiTheme="majorHAnsi" w:hAnsiTheme="majorHAnsi"/>
          <w:lang w:val="fr-FR"/>
        </w:rPr>
        <w:t>(Pearson=0,394, val</w:t>
      </w:r>
      <w:r w:rsidR="007166FB">
        <w:rPr>
          <w:rFonts w:asciiTheme="majorHAnsi" w:hAnsiTheme="majorHAnsi"/>
          <w:lang w:val="fr-FR"/>
        </w:rPr>
        <w:t>eur</w:t>
      </w:r>
      <w:r w:rsidR="00A77AB5" w:rsidRPr="00552430">
        <w:rPr>
          <w:rFonts w:asciiTheme="majorHAnsi" w:hAnsiTheme="majorHAnsi"/>
          <w:lang w:val="fr-FR"/>
        </w:rPr>
        <w:t xml:space="preserve"> p = 0,000; Pearson=0,409, val</w:t>
      </w:r>
      <w:r w:rsidR="007166FB">
        <w:rPr>
          <w:rFonts w:asciiTheme="majorHAnsi" w:hAnsiTheme="majorHAnsi"/>
          <w:lang w:val="fr-FR"/>
        </w:rPr>
        <w:t>eur</w:t>
      </w:r>
      <w:r w:rsidR="00A77AB5" w:rsidRPr="00552430">
        <w:rPr>
          <w:rFonts w:asciiTheme="majorHAnsi" w:hAnsiTheme="majorHAnsi"/>
          <w:lang w:val="fr-FR"/>
        </w:rPr>
        <w:t xml:space="preserve"> p = 0,000). </w:t>
      </w:r>
      <w:r w:rsidR="00387483" w:rsidRPr="00387483">
        <w:rPr>
          <w:rFonts w:asciiTheme="majorHAnsi" w:hAnsiTheme="majorHAnsi"/>
          <w:lang w:val="fr-FR"/>
        </w:rPr>
        <w:t>Cependant, elle cesse d’être significative quand o</w:t>
      </w:r>
      <w:r w:rsidR="00DA183E">
        <w:rPr>
          <w:rFonts w:asciiTheme="majorHAnsi" w:hAnsiTheme="majorHAnsi"/>
          <w:lang w:val="fr-FR"/>
        </w:rPr>
        <w:t>n ne</w:t>
      </w:r>
      <w:r w:rsidR="00387483" w:rsidRPr="00387483">
        <w:rPr>
          <w:rFonts w:asciiTheme="majorHAnsi" w:hAnsiTheme="majorHAnsi"/>
          <w:lang w:val="fr-FR"/>
        </w:rPr>
        <w:t xml:space="preserve"> considère que les 22 </w:t>
      </w:r>
      <w:r w:rsidR="000036E8">
        <w:rPr>
          <w:rFonts w:asciiTheme="majorHAnsi" w:hAnsiTheme="majorHAnsi"/>
          <w:lang w:val="fr-FR"/>
        </w:rPr>
        <w:t>municipalités</w:t>
      </w:r>
      <w:r w:rsidR="00387483" w:rsidRPr="00387483">
        <w:rPr>
          <w:rFonts w:asciiTheme="majorHAnsi" w:hAnsiTheme="majorHAnsi"/>
          <w:lang w:val="fr-FR"/>
        </w:rPr>
        <w:t xml:space="preserve"> ayant le </w:t>
      </w:r>
      <w:r w:rsidR="00387483">
        <w:rPr>
          <w:rFonts w:asciiTheme="majorHAnsi" w:hAnsiTheme="majorHAnsi"/>
          <w:lang w:val="fr-FR"/>
        </w:rPr>
        <w:t xml:space="preserve">plus grand nombre de familles </w:t>
      </w:r>
      <w:r w:rsidR="00A77AB5" w:rsidRPr="00387483">
        <w:rPr>
          <w:rFonts w:asciiTheme="majorHAnsi" w:hAnsiTheme="majorHAnsi"/>
          <w:lang w:val="fr-FR"/>
        </w:rPr>
        <w:t>(Pearson=0,288, val</w:t>
      </w:r>
      <w:r w:rsidR="001C48CC">
        <w:rPr>
          <w:rFonts w:asciiTheme="majorHAnsi" w:hAnsiTheme="majorHAnsi"/>
          <w:lang w:val="fr-FR"/>
        </w:rPr>
        <w:t>eur</w:t>
      </w:r>
      <w:r w:rsidR="00A77AB5" w:rsidRPr="00387483">
        <w:rPr>
          <w:rFonts w:asciiTheme="majorHAnsi" w:hAnsiTheme="majorHAnsi"/>
          <w:lang w:val="fr-FR"/>
        </w:rPr>
        <w:t xml:space="preserve"> p= 0,194). </w:t>
      </w:r>
      <w:r w:rsidR="007909B5" w:rsidRPr="007909B5">
        <w:rPr>
          <w:rFonts w:asciiTheme="majorHAnsi" w:hAnsiTheme="majorHAnsi"/>
          <w:lang w:val="fr-FR"/>
        </w:rPr>
        <w:t>Autrement dit</w:t>
      </w:r>
      <w:r w:rsidR="00387483" w:rsidRPr="007909B5">
        <w:rPr>
          <w:rFonts w:asciiTheme="majorHAnsi" w:hAnsiTheme="majorHAnsi"/>
          <w:lang w:val="fr-FR"/>
        </w:rPr>
        <w:t>,</w:t>
      </w:r>
      <w:r w:rsidR="00387483" w:rsidRPr="00357480">
        <w:rPr>
          <w:rFonts w:asciiTheme="majorHAnsi" w:hAnsiTheme="majorHAnsi"/>
          <w:color w:val="FF0000"/>
          <w:lang w:val="fr-FR"/>
        </w:rPr>
        <w:t xml:space="preserve"> </w:t>
      </w:r>
      <w:r w:rsidR="00357480" w:rsidRPr="00E43D38">
        <w:rPr>
          <w:rFonts w:asciiTheme="majorHAnsi" w:hAnsiTheme="majorHAnsi"/>
          <w:lang w:val="fr-FR"/>
        </w:rPr>
        <w:t>ce</w:t>
      </w:r>
      <w:r w:rsidR="00357480">
        <w:rPr>
          <w:rFonts w:asciiTheme="majorHAnsi" w:hAnsiTheme="majorHAnsi"/>
          <w:color w:val="FF0000"/>
          <w:lang w:val="fr-FR"/>
        </w:rPr>
        <w:t xml:space="preserve"> </w:t>
      </w:r>
      <w:r w:rsidR="00387483" w:rsidRPr="007909B5">
        <w:rPr>
          <w:rFonts w:asciiTheme="majorHAnsi" w:hAnsiTheme="majorHAnsi"/>
          <w:lang w:val="fr-FR"/>
        </w:rPr>
        <w:t xml:space="preserve">sont les </w:t>
      </w:r>
      <w:r w:rsidR="00E43D38">
        <w:rPr>
          <w:rFonts w:asciiTheme="majorHAnsi" w:hAnsiTheme="majorHAnsi"/>
          <w:lang w:val="fr-FR"/>
        </w:rPr>
        <w:t xml:space="preserve">municipalités </w:t>
      </w:r>
      <w:r w:rsidR="00387483" w:rsidRPr="007909B5">
        <w:rPr>
          <w:rFonts w:asciiTheme="majorHAnsi" w:hAnsiTheme="majorHAnsi"/>
          <w:lang w:val="fr-FR"/>
        </w:rPr>
        <w:t xml:space="preserve">ayant le moins de </w:t>
      </w:r>
      <w:r w:rsidR="007909B5" w:rsidRPr="007909B5">
        <w:rPr>
          <w:rFonts w:asciiTheme="majorHAnsi" w:hAnsiTheme="majorHAnsi"/>
          <w:lang w:val="fr-FR"/>
        </w:rPr>
        <w:t>familles qui fin</w:t>
      </w:r>
      <w:r w:rsidR="00DA183E">
        <w:rPr>
          <w:rFonts w:asciiTheme="majorHAnsi" w:hAnsiTheme="majorHAnsi"/>
          <w:lang w:val="fr-FR"/>
        </w:rPr>
        <w:t>issent par stimuler l’existence</w:t>
      </w:r>
      <w:r w:rsidR="007909B5" w:rsidRPr="007909B5">
        <w:rPr>
          <w:rFonts w:asciiTheme="majorHAnsi" w:hAnsiTheme="majorHAnsi"/>
          <w:lang w:val="fr-FR"/>
        </w:rPr>
        <w:t xml:space="preserve"> d’une </w:t>
      </w:r>
      <w:r w:rsidR="00920F38" w:rsidRPr="007909B5">
        <w:rPr>
          <w:rFonts w:asciiTheme="majorHAnsi" w:hAnsiTheme="majorHAnsi"/>
          <w:lang w:val="fr-FR"/>
        </w:rPr>
        <w:t>corrélation</w:t>
      </w:r>
      <w:r w:rsidR="007909B5" w:rsidRPr="007909B5">
        <w:rPr>
          <w:rFonts w:asciiTheme="majorHAnsi" w:hAnsiTheme="majorHAnsi"/>
          <w:lang w:val="fr-FR"/>
        </w:rPr>
        <w:t xml:space="preserve"> positive significative</w:t>
      </w:r>
      <w:r w:rsidR="00A77AB5" w:rsidRPr="007909B5">
        <w:rPr>
          <w:rFonts w:asciiTheme="majorHAnsi" w:hAnsiTheme="majorHAnsi"/>
          <w:lang w:val="fr-FR"/>
        </w:rPr>
        <w:t xml:space="preserve">, </w:t>
      </w:r>
      <w:r w:rsidR="000036E8">
        <w:rPr>
          <w:rFonts w:asciiTheme="majorHAnsi" w:hAnsiTheme="majorHAnsi"/>
          <w:lang w:val="fr-FR"/>
        </w:rPr>
        <w:t xml:space="preserve">même si elle n’est pas </w:t>
      </w:r>
      <w:r w:rsidR="00AC3D15">
        <w:rPr>
          <w:rFonts w:asciiTheme="majorHAnsi" w:hAnsiTheme="majorHAnsi"/>
          <w:lang w:val="fr-FR"/>
        </w:rPr>
        <w:t>très</w:t>
      </w:r>
      <w:r w:rsidR="007909B5">
        <w:rPr>
          <w:rFonts w:asciiTheme="majorHAnsi" w:hAnsiTheme="majorHAnsi"/>
          <w:lang w:val="fr-FR"/>
        </w:rPr>
        <w:t xml:space="preserve"> forte</w:t>
      </w:r>
      <w:r w:rsidR="00A77AB5" w:rsidRPr="007909B5">
        <w:rPr>
          <w:rFonts w:asciiTheme="majorHAnsi" w:hAnsiTheme="majorHAnsi"/>
          <w:lang w:val="fr-FR"/>
        </w:rPr>
        <w:t xml:space="preserve">. </w:t>
      </w:r>
    </w:p>
    <w:p w14:paraId="0526A5FB" w14:textId="77777777" w:rsidR="00A77AB5" w:rsidRPr="005C40A0" w:rsidRDefault="00C009AF" w:rsidP="00A77AB5">
      <w:pPr>
        <w:jc w:val="both"/>
        <w:rPr>
          <w:rFonts w:ascii="Calibri" w:eastAsia="Times New Roman" w:hAnsi="Calibri" w:cs="Times New Roman"/>
          <w:color w:val="000000"/>
          <w:lang w:val="fr-FR"/>
        </w:rPr>
      </w:pPr>
      <w:r w:rsidRPr="005C40A0">
        <w:rPr>
          <w:rFonts w:ascii="Calibri" w:eastAsia="Times New Roman" w:hAnsi="Calibri" w:cs="Times New Roman"/>
          <w:color w:val="000000"/>
          <w:lang w:val="fr-FR"/>
        </w:rPr>
        <w:t>En fait</w:t>
      </w:r>
      <w:r w:rsidR="00A77AB5" w:rsidRPr="005C40A0">
        <w:rPr>
          <w:rFonts w:ascii="Calibri" w:eastAsia="Times New Roman" w:hAnsi="Calibri" w:cs="Times New Roman"/>
          <w:color w:val="000000"/>
          <w:lang w:val="fr-FR"/>
        </w:rPr>
        <w:t xml:space="preserve">, </w:t>
      </w:r>
      <w:r w:rsidR="00755E59">
        <w:rPr>
          <w:rFonts w:ascii="Calibri" w:eastAsia="Times New Roman" w:hAnsi="Calibri" w:cs="Times New Roman"/>
          <w:color w:val="000000"/>
          <w:lang w:val="fr-FR"/>
        </w:rPr>
        <w:t>dans les municipalités</w:t>
      </w:r>
      <w:r w:rsidRPr="005C40A0">
        <w:rPr>
          <w:rFonts w:ascii="Calibri" w:eastAsia="Times New Roman" w:hAnsi="Calibri" w:cs="Times New Roman"/>
          <w:color w:val="000000"/>
          <w:lang w:val="fr-FR"/>
        </w:rPr>
        <w:t xml:space="preserve"> </w:t>
      </w:r>
      <w:r w:rsidR="00B509CF" w:rsidRPr="005C40A0">
        <w:rPr>
          <w:rFonts w:ascii="Calibri" w:eastAsia="Times New Roman" w:hAnsi="Calibri" w:cs="Times New Roman"/>
          <w:color w:val="000000"/>
          <w:lang w:val="fr-FR"/>
        </w:rPr>
        <w:t>où</w:t>
      </w:r>
      <w:r w:rsidRPr="005C40A0">
        <w:rPr>
          <w:rFonts w:ascii="Calibri" w:eastAsia="Times New Roman" w:hAnsi="Calibri" w:cs="Times New Roman"/>
          <w:color w:val="000000"/>
          <w:lang w:val="fr-FR"/>
        </w:rPr>
        <w:t xml:space="preserve"> le taux </w:t>
      </w:r>
      <w:r w:rsidR="00B509CF" w:rsidRPr="005C40A0">
        <w:rPr>
          <w:rFonts w:ascii="Calibri" w:eastAsia="Times New Roman" w:hAnsi="Calibri" w:cs="Times New Roman"/>
          <w:color w:val="000000"/>
          <w:lang w:val="fr-FR"/>
        </w:rPr>
        <w:t>populationnel</w:t>
      </w:r>
      <w:r w:rsidRPr="005C40A0">
        <w:rPr>
          <w:rFonts w:ascii="Calibri" w:eastAsia="Times New Roman" w:hAnsi="Calibri" w:cs="Times New Roman"/>
          <w:color w:val="000000"/>
          <w:lang w:val="fr-FR"/>
        </w:rPr>
        <w:t xml:space="preserve"> de permanence</w:t>
      </w:r>
      <w:r w:rsidR="00A77AB5" w:rsidRPr="005C40A0">
        <w:rPr>
          <w:rFonts w:ascii="Calibri" w:eastAsia="Times New Roman" w:hAnsi="Calibri" w:cs="Times New Roman"/>
          <w:color w:val="000000"/>
          <w:lang w:val="fr-FR"/>
        </w:rPr>
        <w:t xml:space="preserve"> </w:t>
      </w:r>
      <w:r w:rsidR="005C40A0" w:rsidRPr="005C40A0">
        <w:rPr>
          <w:rFonts w:ascii="Calibri" w:eastAsia="Times New Roman" w:hAnsi="Calibri" w:cs="Times New Roman"/>
          <w:color w:val="000000"/>
          <w:lang w:val="fr-FR"/>
        </w:rPr>
        <w:t>(taux de résidents se maintenant)</w:t>
      </w:r>
      <w:r w:rsidR="00A77AB5" w:rsidRPr="005C40A0">
        <w:rPr>
          <w:rFonts w:ascii="Calibri" w:eastAsia="Times New Roman" w:hAnsi="Calibri" w:cs="Times New Roman"/>
          <w:color w:val="000000"/>
          <w:lang w:val="fr-FR"/>
        </w:rPr>
        <w:t xml:space="preserve"> </w:t>
      </w:r>
      <w:r w:rsidR="005C40A0" w:rsidRPr="005C40A0">
        <w:rPr>
          <w:rFonts w:ascii="Calibri" w:eastAsia="Times New Roman" w:hAnsi="Calibri" w:cs="Times New Roman"/>
          <w:color w:val="000000"/>
          <w:lang w:val="fr-FR"/>
        </w:rPr>
        <w:t>est plus</w:t>
      </w:r>
      <w:r w:rsidR="00357480" w:rsidRPr="00357480">
        <w:rPr>
          <w:rFonts w:ascii="Calibri" w:eastAsia="Times New Roman" w:hAnsi="Calibri" w:cs="Times New Roman"/>
          <w:color w:val="FF0000"/>
          <w:lang w:val="fr-FR"/>
        </w:rPr>
        <w:t xml:space="preserve"> </w:t>
      </w:r>
      <w:r w:rsidR="00357480" w:rsidRPr="00E43D38">
        <w:rPr>
          <w:rFonts w:ascii="Calibri" w:eastAsia="Times New Roman" w:hAnsi="Calibri" w:cs="Times New Roman"/>
          <w:lang w:val="fr-FR"/>
        </w:rPr>
        <w:t>haut</w:t>
      </w:r>
      <w:r w:rsidR="00A77AB5" w:rsidRPr="005C40A0">
        <w:rPr>
          <w:rFonts w:ascii="Calibri" w:eastAsia="Times New Roman" w:hAnsi="Calibri" w:cs="Times New Roman"/>
          <w:color w:val="000000"/>
          <w:lang w:val="fr-FR"/>
        </w:rPr>
        <w:t xml:space="preserve">, </w:t>
      </w:r>
      <w:r w:rsidR="005C40A0" w:rsidRPr="005C40A0">
        <w:rPr>
          <w:rFonts w:ascii="Calibri" w:eastAsia="Times New Roman" w:hAnsi="Calibri" w:cs="Times New Roman"/>
          <w:color w:val="000000"/>
          <w:lang w:val="fr-FR"/>
        </w:rPr>
        <w:t>on prévoit une plus grande taille moyenne des familles, bien que cette</w:t>
      </w:r>
      <w:r w:rsidR="00A77AB5" w:rsidRPr="005C40A0">
        <w:rPr>
          <w:rFonts w:ascii="Calibri" w:eastAsia="Times New Roman" w:hAnsi="Calibri" w:cs="Times New Roman"/>
          <w:color w:val="000000"/>
          <w:lang w:val="fr-FR"/>
        </w:rPr>
        <w:t xml:space="preserve"> </w:t>
      </w:r>
      <w:r w:rsidR="00B509CF" w:rsidRPr="005C40A0">
        <w:rPr>
          <w:rFonts w:ascii="Calibri" w:eastAsia="Times New Roman" w:hAnsi="Calibri" w:cs="Times New Roman"/>
          <w:color w:val="000000"/>
          <w:lang w:val="fr-FR"/>
        </w:rPr>
        <w:t>corréla</w:t>
      </w:r>
      <w:r w:rsidR="00B509CF">
        <w:rPr>
          <w:rFonts w:ascii="Calibri" w:eastAsia="Times New Roman" w:hAnsi="Calibri" w:cs="Times New Roman"/>
          <w:color w:val="000000"/>
          <w:lang w:val="fr-FR"/>
        </w:rPr>
        <w:t>tion</w:t>
      </w:r>
      <w:r w:rsidR="005C40A0">
        <w:rPr>
          <w:rFonts w:ascii="Calibri" w:eastAsia="Times New Roman" w:hAnsi="Calibri" w:cs="Times New Roman"/>
          <w:color w:val="000000"/>
          <w:lang w:val="fr-FR"/>
        </w:rPr>
        <w:t xml:space="preserve"> positive soit</w:t>
      </w:r>
      <w:r w:rsidR="00A77AB5" w:rsidRPr="005C40A0">
        <w:rPr>
          <w:rFonts w:ascii="Calibri" w:eastAsia="Times New Roman" w:hAnsi="Calibri" w:cs="Times New Roman"/>
          <w:color w:val="000000"/>
          <w:lang w:val="fr-FR"/>
        </w:rPr>
        <w:t xml:space="preserve"> </w:t>
      </w:r>
      <w:r w:rsidR="005C40A0">
        <w:rPr>
          <w:rFonts w:ascii="Calibri" w:eastAsia="Times New Roman" w:hAnsi="Calibri" w:cs="Times New Roman"/>
          <w:color w:val="000000"/>
          <w:lang w:val="fr-FR"/>
        </w:rPr>
        <w:t>significative, elle n’est pas</w:t>
      </w:r>
      <w:r w:rsidR="00B509CF">
        <w:rPr>
          <w:rFonts w:ascii="Calibri" w:eastAsia="Times New Roman" w:hAnsi="Calibri" w:cs="Times New Roman"/>
          <w:color w:val="000000"/>
          <w:lang w:val="fr-FR"/>
        </w:rPr>
        <w:t xml:space="preserve"> </w:t>
      </w:r>
      <w:r w:rsidR="0028725E">
        <w:rPr>
          <w:rFonts w:ascii="Calibri" w:eastAsia="Times New Roman" w:hAnsi="Calibri" w:cs="Times New Roman"/>
          <w:color w:val="000000"/>
          <w:lang w:val="fr-FR"/>
        </w:rPr>
        <w:t>très</w:t>
      </w:r>
      <w:r w:rsidR="00755E59">
        <w:rPr>
          <w:rFonts w:ascii="Calibri" w:eastAsia="Times New Roman" w:hAnsi="Calibri" w:cs="Times New Roman"/>
          <w:color w:val="000000"/>
          <w:lang w:val="fr-FR"/>
        </w:rPr>
        <w:t xml:space="preserve"> forte </w:t>
      </w:r>
      <w:r w:rsidR="005C40A0">
        <w:rPr>
          <w:rFonts w:ascii="Calibri" w:eastAsia="Times New Roman" w:hAnsi="Calibri" w:cs="Times New Roman"/>
          <w:color w:val="000000"/>
          <w:lang w:val="fr-FR"/>
        </w:rPr>
        <w:t>dans l’ensemble des 308</w:t>
      </w:r>
      <w:r w:rsidR="00755E59">
        <w:rPr>
          <w:rFonts w:ascii="Calibri" w:eastAsia="Times New Roman" w:hAnsi="Calibri" w:cs="Times New Roman"/>
          <w:color w:val="000000"/>
          <w:lang w:val="fr-FR"/>
        </w:rPr>
        <w:t xml:space="preserve"> municipalités</w:t>
      </w:r>
      <w:r w:rsidR="005C40A0">
        <w:rPr>
          <w:rFonts w:ascii="Calibri" w:eastAsia="Times New Roman" w:hAnsi="Calibri" w:cs="Times New Roman"/>
          <w:color w:val="000000"/>
          <w:lang w:val="fr-FR"/>
        </w:rPr>
        <w:t xml:space="preserve"> portugaises</w:t>
      </w:r>
      <w:r w:rsidR="00A77AB5" w:rsidRPr="005C40A0">
        <w:rPr>
          <w:rFonts w:ascii="Calibri" w:eastAsia="Times New Roman" w:hAnsi="Calibri" w:cs="Times New Roman"/>
          <w:color w:val="000000"/>
          <w:lang w:val="fr-FR"/>
        </w:rPr>
        <w:t xml:space="preserve"> (Pearson=0,367, val</w:t>
      </w:r>
      <w:r w:rsidR="005C40A0">
        <w:rPr>
          <w:rFonts w:ascii="Calibri" w:eastAsia="Times New Roman" w:hAnsi="Calibri" w:cs="Times New Roman"/>
          <w:color w:val="000000"/>
          <w:lang w:val="fr-FR"/>
        </w:rPr>
        <w:t>eur</w:t>
      </w:r>
      <w:r w:rsidR="00A77AB5" w:rsidRPr="005C40A0">
        <w:rPr>
          <w:rFonts w:ascii="Calibri" w:eastAsia="Times New Roman" w:hAnsi="Calibri" w:cs="Times New Roman"/>
          <w:color w:val="000000"/>
          <w:lang w:val="fr-FR"/>
        </w:rPr>
        <w:t xml:space="preserve"> p = 0,000), </w:t>
      </w:r>
      <w:r w:rsidR="005C40A0">
        <w:rPr>
          <w:rFonts w:ascii="Calibri" w:eastAsia="Times New Roman" w:hAnsi="Calibri" w:cs="Times New Roman"/>
          <w:color w:val="000000"/>
          <w:lang w:val="fr-FR"/>
        </w:rPr>
        <w:t>augmentant légèrement dans l’ensemble restr</w:t>
      </w:r>
      <w:r w:rsidR="00DE237E">
        <w:rPr>
          <w:rFonts w:ascii="Calibri" w:eastAsia="Times New Roman" w:hAnsi="Calibri" w:cs="Times New Roman"/>
          <w:color w:val="000000"/>
          <w:lang w:val="fr-FR"/>
        </w:rPr>
        <w:t>e</w:t>
      </w:r>
      <w:r w:rsidR="005C40A0">
        <w:rPr>
          <w:rFonts w:ascii="Calibri" w:eastAsia="Times New Roman" w:hAnsi="Calibri" w:cs="Times New Roman"/>
          <w:color w:val="000000"/>
          <w:lang w:val="fr-FR"/>
        </w:rPr>
        <w:t>int des 22 communes</w:t>
      </w:r>
      <w:r w:rsidR="00B509CF">
        <w:rPr>
          <w:rFonts w:ascii="Calibri" w:eastAsia="Times New Roman" w:hAnsi="Calibri" w:cs="Times New Roman"/>
          <w:color w:val="000000"/>
          <w:lang w:val="fr-FR"/>
        </w:rPr>
        <w:t xml:space="preserve"> </w:t>
      </w:r>
      <w:r w:rsidR="005C40A0">
        <w:rPr>
          <w:rFonts w:ascii="Calibri" w:eastAsia="Times New Roman" w:hAnsi="Calibri" w:cs="Times New Roman"/>
          <w:color w:val="000000"/>
          <w:lang w:val="fr-FR"/>
        </w:rPr>
        <w:t>ayant le plus grand nombre de familles</w:t>
      </w:r>
      <w:r w:rsidR="00A77AB5" w:rsidRPr="005C40A0">
        <w:rPr>
          <w:rFonts w:asciiTheme="majorHAnsi" w:hAnsiTheme="majorHAnsi"/>
          <w:lang w:val="fr-FR"/>
        </w:rPr>
        <w:t xml:space="preserve"> (Pearson=0,449, val</w:t>
      </w:r>
      <w:r w:rsidR="00B509CF">
        <w:rPr>
          <w:rFonts w:asciiTheme="majorHAnsi" w:hAnsiTheme="majorHAnsi"/>
          <w:lang w:val="fr-FR"/>
        </w:rPr>
        <w:t>eur</w:t>
      </w:r>
      <w:r w:rsidR="00A77AB5" w:rsidRPr="005C40A0">
        <w:rPr>
          <w:rFonts w:asciiTheme="majorHAnsi" w:hAnsiTheme="majorHAnsi"/>
          <w:lang w:val="fr-FR"/>
        </w:rPr>
        <w:t xml:space="preserve"> p = 0,036)</w:t>
      </w:r>
      <w:r w:rsidR="00A77AB5" w:rsidRPr="005C40A0">
        <w:rPr>
          <w:rFonts w:ascii="Calibri" w:eastAsia="Times New Roman" w:hAnsi="Calibri" w:cs="Times New Roman"/>
          <w:color w:val="000000"/>
          <w:lang w:val="fr-FR"/>
        </w:rPr>
        <w:t xml:space="preserve">. </w:t>
      </w:r>
    </w:p>
    <w:p w14:paraId="36BA4F4C" w14:textId="77777777" w:rsidR="00A77AB5" w:rsidRPr="005F1B19" w:rsidRDefault="00A77AB5" w:rsidP="00A77AB5">
      <w:pPr>
        <w:jc w:val="both"/>
        <w:rPr>
          <w:rFonts w:asciiTheme="majorHAnsi" w:hAnsiTheme="majorHAnsi"/>
          <w:lang w:val="fr-FR"/>
        </w:rPr>
      </w:pPr>
      <w:r w:rsidRPr="002174E3">
        <w:rPr>
          <w:rFonts w:ascii="Calibri" w:eastAsia="Times New Roman" w:hAnsi="Calibri" w:cs="Times New Roman"/>
          <w:lang w:val="fr-FR"/>
        </w:rPr>
        <w:t>Quand</w:t>
      </w:r>
      <w:r w:rsidR="002174E3" w:rsidRPr="002174E3">
        <w:rPr>
          <w:rFonts w:ascii="Calibri" w:eastAsia="Times New Roman" w:hAnsi="Calibri" w:cs="Times New Roman"/>
          <w:lang w:val="fr-FR"/>
        </w:rPr>
        <w:t xml:space="preserve"> on </w:t>
      </w:r>
      <w:r w:rsidR="00DE237E" w:rsidRPr="002174E3">
        <w:rPr>
          <w:rFonts w:ascii="Calibri" w:eastAsia="Times New Roman" w:hAnsi="Calibri" w:cs="Times New Roman"/>
          <w:lang w:val="fr-FR"/>
        </w:rPr>
        <w:t>considère</w:t>
      </w:r>
      <w:r w:rsidRPr="002174E3">
        <w:rPr>
          <w:rFonts w:ascii="Calibri" w:eastAsia="Times New Roman" w:hAnsi="Calibri" w:cs="Times New Roman"/>
          <w:lang w:val="fr-FR"/>
        </w:rPr>
        <w:t xml:space="preserve"> </w:t>
      </w:r>
      <w:r w:rsidR="002174E3" w:rsidRPr="002174E3">
        <w:rPr>
          <w:rFonts w:ascii="Calibri" w:eastAsia="Times New Roman" w:hAnsi="Calibri" w:cs="Times New Roman"/>
          <w:lang w:val="fr-FR"/>
        </w:rPr>
        <w:t>l</w:t>
      </w:r>
      <w:r w:rsidRPr="002174E3">
        <w:rPr>
          <w:rFonts w:ascii="Calibri" w:eastAsia="Times New Roman" w:hAnsi="Calibri" w:cs="Times New Roman"/>
          <w:lang w:val="fr-FR"/>
        </w:rPr>
        <w:t>a popula</w:t>
      </w:r>
      <w:r w:rsidR="002174E3" w:rsidRPr="002174E3">
        <w:rPr>
          <w:rFonts w:ascii="Calibri" w:eastAsia="Times New Roman" w:hAnsi="Calibri" w:cs="Times New Roman"/>
          <w:lang w:val="fr-FR"/>
        </w:rPr>
        <w:t>tion qui change de résidence,</w:t>
      </w:r>
      <w:r w:rsidRPr="002174E3">
        <w:rPr>
          <w:rFonts w:ascii="Calibri" w:eastAsia="Times New Roman" w:hAnsi="Calibri" w:cs="Times New Roman"/>
          <w:lang w:val="fr-FR"/>
        </w:rPr>
        <w:t xml:space="preserve"> </w:t>
      </w:r>
      <w:r w:rsidR="002174E3" w:rsidRPr="002174E3">
        <w:rPr>
          <w:rFonts w:ascii="Calibri" w:eastAsia="Times New Roman" w:hAnsi="Calibri" w:cs="Times New Roman"/>
          <w:lang w:val="fr-FR"/>
        </w:rPr>
        <w:t>on remarque l’existence d’une association significative faiblement positive, de ce taux,</w:t>
      </w:r>
      <w:r w:rsidR="002174E3">
        <w:rPr>
          <w:rFonts w:ascii="Calibri" w:eastAsia="Times New Roman" w:hAnsi="Calibri" w:cs="Times New Roman"/>
          <w:lang w:val="fr-FR"/>
        </w:rPr>
        <w:t xml:space="preserve"> par rapport </w:t>
      </w:r>
      <w:r w:rsidR="002174E3" w:rsidRPr="002174E3">
        <w:rPr>
          <w:rFonts w:ascii="Calibri" w:eastAsia="Times New Roman" w:hAnsi="Calibri" w:cs="Times New Roman"/>
          <w:lang w:val="fr-FR"/>
        </w:rPr>
        <w:t>au changement de résidence dans le pays</w:t>
      </w:r>
      <w:r w:rsidR="002174E3">
        <w:rPr>
          <w:rFonts w:ascii="Calibri" w:eastAsia="Times New Roman" w:hAnsi="Calibri" w:cs="Times New Roman"/>
          <w:lang w:val="fr-FR"/>
        </w:rPr>
        <w:t>,</w:t>
      </w:r>
      <w:r w:rsidR="002174E3" w:rsidRPr="002174E3">
        <w:rPr>
          <w:rFonts w:ascii="Calibri" w:eastAsia="Times New Roman" w:hAnsi="Calibri" w:cs="Times New Roman"/>
          <w:lang w:val="fr-FR"/>
        </w:rPr>
        <w:t xml:space="preserve"> avec la taille moyenne des familles </w:t>
      </w:r>
      <w:r w:rsidR="005F1B19">
        <w:rPr>
          <w:rFonts w:ascii="Calibri" w:eastAsia="Times New Roman" w:hAnsi="Calibri" w:cs="Times New Roman"/>
          <w:lang w:val="fr-FR"/>
        </w:rPr>
        <w:t xml:space="preserve">tant entre les 308 municipalités ou même lorsque on retire les ensembles restreints des 4 ou 22 communes ayant le plus </w:t>
      </w:r>
      <w:r w:rsidR="005F1B19" w:rsidRPr="002702A4">
        <w:rPr>
          <w:rFonts w:ascii="Calibri" w:eastAsia="Times New Roman" w:hAnsi="Calibri" w:cs="Times New Roman"/>
          <w:lang w:val="fr-FR"/>
        </w:rPr>
        <w:t xml:space="preserve">grand nombre de </w:t>
      </w:r>
      <w:r w:rsidR="002702A4" w:rsidRPr="002702A4">
        <w:rPr>
          <w:rFonts w:ascii="Calibri" w:eastAsia="Times New Roman" w:hAnsi="Calibri" w:cs="Times New Roman"/>
          <w:lang w:val="fr-FR"/>
        </w:rPr>
        <w:t>familles</w:t>
      </w:r>
      <w:r w:rsidR="002702A4">
        <w:rPr>
          <w:rFonts w:ascii="Calibri" w:eastAsia="Times New Roman" w:hAnsi="Calibri" w:cs="Times New Roman"/>
          <w:lang w:val="fr-FR"/>
        </w:rPr>
        <w:t xml:space="preserve"> </w:t>
      </w:r>
      <w:r w:rsidRPr="002174E3">
        <w:rPr>
          <w:rFonts w:ascii="Calibri" w:eastAsia="Times New Roman" w:hAnsi="Calibri" w:cs="Times New Roman"/>
          <w:lang w:val="fr-FR"/>
        </w:rPr>
        <w:t>(0,126&lt;Pearson&lt;0,143, val</w:t>
      </w:r>
      <w:r w:rsidR="00B509CF">
        <w:rPr>
          <w:rFonts w:ascii="Calibri" w:eastAsia="Times New Roman" w:hAnsi="Calibri" w:cs="Times New Roman"/>
          <w:lang w:val="fr-FR"/>
        </w:rPr>
        <w:t>eur</w:t>
      </w:r>
      <w:r w:rsidRPr="002174E3">
        <w:rPr>
          <w:rFonts w:ascii="Calibri" w:eastAsia="Times New Roman" w:hAnsi="Calibri" w:cs="Times New Roman"/>
          <w:lang w:val="fr-FR"/>
        </w:rPr>
        <w:t xml:space="preserve"> p &lt; 0,027). </w:t>
      </w:r>
      <w:r w:rsidR="005F1B19" w:rsidRPr="005F1B19">
        <w:rPr>
          <w:rFonts w:ascii="Calibri" w:eastAsia="Times New Roman" w:hAnsi="Calibri" w:cs="Times New Roman"/>
          <w:lang w:val="fr-FR"/>
        </w:rPr>
        <w:t>A l’opposé il n’existe pas d’association significative quand le taux est relatif au changement de pays</w:t>
      </w:r>
      <w:r w:rsidR="002702A4">
        <w:rPr>
          <w:rFonts w:ascii="Calibri" w:eastAsia="Times New Roman" w:hAnsi="Calibri" w:cs="Times New Roman"/>
          <w:lang w:val="fr-FR"/>
        </w:rPr>
        <w:t>, (-0,076&lt;Pearson&lt;-0,066</w:t>
      </w:r>
      <w:r w:rsidRPr="005F1B19">
        <w:rPr>
          <w:rFonts w:ascii="Calibri" w:eastAsia="Times New Roman" w:hAnsi="Calibri" w:cs="Times New Roman"/>
          <w:lang w:val="fr-FR"/>
        </w:rPr>
        <w:t>, val</w:t>
      </w:r>
      <w:r w:rsidR="005F1B19" w:rsidRPr="005F1B19">
        <w:rPr>
          <w:rFonts w:ascii="Calibri" w:eastAsia="Times New Roman" w:hAnsi="Calibri" w:cs="Times New Roman"/>
          <w:lang w:val="fr-FR"/>
        </w:rPr>
        <w:t>eu</w:t>
      </w:r>
      <w:r w:rsidRPr="005F1B19">
        <w:rPr>
          <w:rFonts w:ascii="Calibri" w:eastAsia="Times New Roman" w:hAnsi="Calibri" w:cs="Times New Roman"/>
          <w:lang w:val="fr-FR"/>
        </w:rPr>
        <w:t>r p &gt; 0,181).</w:t>
      </w:r>
      <w:r w:rsidR="002702A4">
        <w:rPr>
          <w:rFonts w:ascii="Calibri" w:eastAsia="Times New Roman" w:hAnsi="Calibri" w:cs="Times New Roman"/>
          <w:lang w:val="fr-FR"/>
        </w:rPr>
        <w:t xml:space="preserve"> </w:t>
      </w:r>
      <w:r w:rsidR="005F1B19" w:rsidRPr="005F1B19">
        <w:rPr>
          <w:rFonts w:ascii="Calibri" w:eastAsia="Times New Roman" w:hAnsi="Calibri" w:cs="Times New Roman"/>
          <w:lang w:val="fr-FR"/>
        </w:rPr>
        <w:t xml:space="preserve">En prenant seulement les 22 communes ayant le plus grand nombre de familles on constate une </w:t>
      </w:r>
      <w:r w:rsidR="00B509CF" w:rsidRPr="005F1B19">
        <w:rPr>
          <w:rFonts w:ascii="Calibri" w:eastAsia="Times New Roman" w:hAnsi="Calibri" w:cs="Times New Roman"/>
          <w:lang w:val="fr-FR"/>
        </w:rPr>
        <w:t>corrélation</w:t>
      </w:r>
      <w:r w:rsidR="005F1B19" w:rsidRPr="005F1B19">
        <w:rPr>
          <w:rFonts w:ascii="Calibri" w:eastAsia="Times New Roman" w:hAnsi="Calibri" w:cs="Times New Roman"/>
          <w:lang w:val="fr-FR"/>
        </w:rPr>
        <w:t xml:space="preserve"> </w:t>
      </w:r>
      <w:r w:rsidR="002702A4" w:rsidRPr="002702A4">
        <w:rPr>
          <w:rFonts w:ascii="Calibri" w:eastAsia="Times New Roman" w:hAnsi="Calibri" w:cs="Times New Roman"/>
          <w:lang w:val="fr-FR"/>
        </w:rPr>
        <w:t>inverse</w:t>
      </w:r>
      <w:r w:rsidR="005F1B19" w:rsidRPr="002702A4">
        <w:rPr>
          <w:rFonts w:ascii="Calibri" w:eastAsia="Times New Roman" w:hAnsi="Calibri" w:cs="Times New Roman"/>
          <w:lang w:val="fr-FR"/>
        </w:rPr>
        <w:t>:</w:t>
      </w:r>
      <w:r w:rsidR="005F1B19">
        <w:rPr>
          <w:rFonts w:ascii="Calibri" w:eastAsia="Times New Roman" w:hAnsi="Calibri" w:cs="Times New Roman"/>
          <w:lang w:val="fr-FR"/>
        </w:rPr>
        <w:t xml:space="preserve"> une </w:t>
      </w:r>
      <w:r w:rsidR="00B509CF">
        <w:rPr>
          <w:rFonts w:ascii="Calibri" w:eastAsia="Times New Roman" w:hAnsi="Calibri" w:cs="Times New Roman"/>
          <w:lang w:val="fr-FR"/>
        </w:rPr>
        <w:t>corrélation</w:t>
      </w:r>
      <w:r w:rsidR="005F1B19">
        <w:rPr>
          <w:rFonts w:ascii="Calibri" w:eastAsia="Times New Roman" w:hAnsi="Calibri" w:cs="Times New Roman"/>
          <w:lang w:val="fr-FR"/>
        </w:rPr>
        <w:t xml:space="preserve"> significative négative </w:t>
      </w:r>
      <w:r w:rsidR="00525FC8">
        <w:rPr>
          <w:rFonts w:ascii="Calibri" w:eastAsia="Times New Roman" w:hAnsi="Calibri" w:cs="Times New Roman"/>
          <w:lang w:val="fr-FR"/>
        </w:rPr>
        <w:t>avec un</w:t>
      </w:r>
      <w:r w:rsidR="00B509CF">
        <w:rPr>
          <w:rFonts w:ascii="Calibri" w:eastAsia="Times New Roman" w:hAnsi="Calibri" w:cs="Times New Roman"/>
          <w:lang w:val="fr-FR"/>
        </w:rPr>
        <w:t xml:space="preserve"> </w:t>
      </w:r>
      <w:r w:rsidR="00525FC8">
        <w:rPr>
          <w:rFonts w:ascii="Calibri" w:eastAsia="Times New Roman" w:hAnsi="Calibri" w:cs="Times New Roman"/>
          <w:lang w:val="fr-FR"/>
        </w:rPr>
        <w:t xml:space="preserve">taux populationnel de changement de résidence </w:t>
      </w:r>
      <w:r w:rsidR="00357480" w:rsidRPr="00E43D38">
        <w:rPr>
          <w:rFonts w:ascii="Calibri" w:eastAsia="Times New Roman" w:hAnsi="Calibri" w:cs="Times New Roman"/>
          <w:lang w:val="fr-FR"/>
        </w:rPr>
        <w:t>venant d</w:t>
      </w:r>
      <w:r w:rsidR="00402F44" w:rsidRPr="00E43D38">
        <w:rPr>
          <w:rFonts w:ascii="Calibri" w:eastAsia="Times New Roman" w:hAnsi="Calibri" w:cs="Times New Roman"/>
          <w:lang w:val="fr-FR"/>
        </w:rPr>
        <w:t>e</w:t>
      </w:r>
      <w:r w:rsidR="00357480" w:rsidRPr="00E43D38">
        <w:rPr>
          <w:rFonts w:ascii="Calibri" w:eastAsia="Times New Roman" w:hAnsi="Calibri" w:cs="Times New Roman"/>
          <w:lang w:val="fr-FR"/>
        </w:rPr>
        <w:t xml:space="preserve">hors </w:t>
      </w:r>
      <w:r w:rsidR="00525FC8" w:rsidRPr="00E43D38">
        <w:rPr>
          <w:rFonts w:ascii="Calibri" w:eastAsia="Times New Roman" w:hAnsi="Calibri" w:cs="Times New Roman"/>
          <w:lang w:val="fr-FR"/>
        </w:rPr>
        <w:t>d</w:t>
      </w:r>
      <w:r w:rsidR="00357480" w:rsidRPr="00E43D38">
        <w:rPr>
          <w:rFonts w:ascii="Calibri" w:eastAsia="Times New Roman" w:hAnsi="Calibri" w:cs="Times New Roman"/>
          <w:lang w:val="fr-FR"/>
        </w:rPr>
        <w:t>u</w:t>
      </w:r>
      <w:r w:rsidR="00525FC8">
        <w:rPr>
          <w:rFonts w:ascii="Calibri" w:eastAsia="Times New Roman" w:hAnsi="Calibri" w:cs="Times New Roman"/>
          <w:lang w:val="fr-FR"/>
        </w:rPr>
        <w:t xml:space="preserve"> pays</w:t>
      </w:r>
      <w:r w:rsidRPr="005F1B19">
        <w:rPr>
          <w:rFonts w:ascii="Calibri" w:eastAsia="Times New Roman" w:hAnsi="Calibri" w:cs="Times New Roman"/>
          <w:lang w:val="fr-FR"/>
        </w:rPr>
        <w:t xml:space="preserve"> </w:t>
      </w:r>
      <w:r w:rsidRPr="005F1B19">
        <w:rPr>
          <w:rFonts w:asciiTheme="majorHAnsi" w:hAnsiTheme="majorHAnsi"/>
          <w:lang w:val="fr-FR"/>
        </w:rPr>
        <w:t>(Pearson=-0,523, val</w:t>
      </w:r>
      <w:r w:rsidR="00525FC8">
        <w:rPr>
          <w:rFonts w:asciiTheme="majorHAnsi" w:hAnsiTheme="majorHAnsi"/>
          <w:lang w:val="fr-FR"/>
        </w:rPr>
        <w:t>eur</w:t>
      </w:r>
      <w:r w:rsidRPr="005F1B19">
        <w:rPr>
          <w:rFonts w:asciiTheme="majorHAnsi" w:hAnsiTheme="majorHAnsi"/>
          <w:lang w:val="fr-FR"/>
        </w:rPr>
        <w:t xml:space="preserve"> p =0,012) e</w:t>
      </w:r>
      <w:r w:rsidR="00525FC8">
        <w:rPr>
          <w:rFonts w:asciiTheme="majorHAnsi" w:hAnsiTheme="majorHAnsi"/>
          <w:lang w:val="fr-FR"/>
        </w:rPr>
        <w:t>t</w:t>
      </w:r>
      <w:r w:rsidRPr="005F1B19">
        <w:rPr>
          <w:rFonts w:asciiTheme="majorHAnsi" w:hAnsiTheme="majorHAnsi"/>
          <w:lang w:val="fr-FR"/>
        </w:rPr>
        <w:t xml:space="preserve"> </w:t>
      </w:r>
      <w:r w:rsidR="00525FC8">
        <w:rPr>
          <w:rFonts w:asciiTheme="majorHAnsi" w:hAnsiTheme="majorHAnsi"/>
          <w:lang w:val="fr-FR"/>
        </w:rPr>
        <w:t>non significat</w:t>
      </w:r>
      <w:r w:rsidR="00B509CF">
        <w:rPr>
          <w:rFonts w:asciiTheme="majorHAnsi" w:hAnsiTheme="majorHAnsi"/>
          <w:lang w:val="fr-FR"/>
        </w:rPr>
        <w:t>i</w:t>
      </w:r>
      <w:r w:rsidR="00525FC8">
        <w:rPr>
          <w:rFonts w:asciiTheme="majorHAnsi" w:hAnsiTheme="majorHAnsi"/>
          <w:lang w:val="fr-FR"/>
        </w:rPr>
        <w:t>ve pour le changement de résidence dans le pays</w:t>
      </w:r>
      <w:r w:rsidRPr="005F1B19">
        <w:rPr>
          <w:rFonts w:asciiTheme="majorHAnsi" w:hAnsiTheme="majorHAnsi"/>
          <w:lang w:val="fr-FR"/>
        </w:rPr>
        <w:t xml:space="preserve"> (Pearson=-0,223, val</w:t>
      </w:r>
      <w:r w:rsidR="00525FC8">
        <w:rPr>
          <w:rFonts w:asciiTheme="majorHAnsi" w:hAnsiTheme="majorHAnsi"/>
          <w:lang w:val="fr-FR"/>
        </w:rPr>
        <w:t>eu</w:t>
      </w:r>
      <w:r w:rsidRPr="005F1B19">
        <w:rPr>
          <w:rFonts w:asciiTheme="majorHAnsi" w:hAnsiTheme="majorHAnsi"/>
          <w:lang w:val="fr-FR"/>
        </w:rPr>
        <w:t>r p = 0,319).</w:t>
      </w:r>
    </w:p>
    <w:p w14:paraId="2480EA88" w14:textId="77777777" w:rsidR="00A77AB5" w:rsidRPr="00525FC8" w:rsidRDefault="00B509CF" w:rsidP="00A77AB5">
      <w:pPr>
        <w:jc w:val="both"/>
        <w:rPr>
          <w:rFonts w:asciiTheme="majorHAnsi" w:hAnsiTheme="majorHAnsi"/>
          <w:lang w:val="fr-FR"/>
        </w:rPr>
      </w:pPr>
      <w:r>
        <w:rPr>
          <w:rFonts w:asciiTheme="majorHAnsi" w:hAnsiTheme="majorHAnsi"/>
          <w:lang w:val="fr-FR"/>
        </w:rPr>
        <w:t>L</w:t>
      </w:r>
      <w:r w:rsidR="00525FC8" w:rsidRPr="00525FC8">
        <w:rPr>
          <w:rFonts w:asciiTheme="majorHAnsi" w:hAnsiTheme="majorHAnsi"/>
          <w:lang w:val="fr-FR"/>
        </w:rPr>
        <w:t>e</w:t>
      </w:r>
      <w:r w:rsidR="00A77AB5" w:rsidRPr="00525FC8">
        <w:rPr>
          <w:rFonts w:asciiTheme="majorHAnsi" w:hAnsiTheme="majorHAnsi"/>
          <w:lang w:val="fr-FR"/>
        </w:rPr>
        <w:t xml:space="preserve"> ta</w:t>
      </w:r>
      <w:r w:rsidR="00525FC8" w:rsidRPr="00525FC8">
        <w:rPr>
          <w:rFonts w:asciiTheme="majorHAnsi" w:hAnsiTheme="majorHAnsi"/>
          <w:lang w:val="fr-FR"/>
        </w:rPr>
        <w:t>ux</w:t>
      </w:r>
      <w:r w:rsidR="00A77AB5" w:rsidRPr="00525FC8">
        <w:rPr>
          <w:rFonts w:asciiTheme="majorHAnsi" w:hAnsiTheme="majorHAnsi"/>
          <w:lang w:val="fr-FR"/>
        </w:rPr>
        <w:t xml:space="preserve"> de varia</w:t>
      </w:r>
      <w:r w:rsidR="00F05969">
        <w:rPr>
          <w:rFonts w:asciiTheme="majorHAnsi" w:hAnsiTheme="majorHAnsi"/>
          <w:lang w:val="fr-FR"/>
        </w:rPr>
        <w:t>tion du</w:t>
      </w:r>
      <w:r w:rsidR="00525FC8" w:rsidRPr="00525FC8">
        <w:rPr>
          <w:rFonts w:asciiTheme="majorHAnsi" w:hAnsiTheme="majorHAnsi"/>
          <w:lang w:val="fr-FR"/>
        </w:rPr>
        <w:t xml:space="preserve"> nombre de</w:t>
      </w:r>
      <w:r w:rsidR="00A77AB5" w:rsidRPr="00525FC8">
        <w:rPr>
          <w:rFonts w:asciiTheme="majorHAnsi" w:hAnsiTheme="majorHAnsi"/>
          <w:lang w:val="fr-FR"/>
        </w:rPr>
        <w:t xml:space="preserve"> fam</w:t>
      </w:r>
      <w:r w:rsidR="00525FC8" w:rsidRPr="00525FC8">
        <w:rPr>
          <w:rFonts w:asciiTheme="majorHAnsi" w:hAnsiTheme="majorHAnsi"/>
          <w:lang w:val="fr-FR"/>
        </w:rPr>
        <w:t>illes</w:t>
      </w:r>
      <w:r w:rsidR="00A77AB5" w:rsidRPr="00525FC8">
        <w:rPr>
          <w:rFonts w:asciiTheme="majorHAnsi" w:hAnsiTheme="majorHAnsi"/>
          <w:lang w:val="fr-FR"/>
        </w:rPr>
        <w:t xml:space="preserve"> est s</w:t>
      </w:r>
      <w:r w:rsidR="00525FC8" w:rsidRPr="00525FC8">
        <w:rPr>
          <w:rFonts w:asciiTheme="majorHAnsi" w:hAnsiTheme="majorHAnsi"/>
          <w:lang w:val="fr-FR"/>
        </w:rPr>
        <w:t xml:space="preserve">urtout lié au taux de </w:t>
      </w:r>
      <w:r w:rsidR="00357480" w:rsidRPr="00E43D38">
        <w:rPr>
          <w:rFonts w:asciiTheme="majorHAnsi" w:hAnsiTheme="majorHAnsi"/>
          <w:lang w:val="fr-FR"/>
        </w:rPr>
        <w:t xml:space="preserve">maintien de résidence </w:t>
      </w:r>
      <w:r w:rsidR="00A77AB5" w:rsidRPr="00E43D38">
        <w:rPr>
          <w:rFonts w:ascii="Calibri" w:eastAsia="Times New Roman" w:hAnsi="Calibri" w:cs="Times New Roman"/>
          <w:lang w:val="fr-FR"/>
        </w:rPr>
        <w:t>(Pearson=0, 848</w:t>
      </w:r>
      <w:r w:rsidR="00A77AB5" w:rsidRPr="00E43D38">
        <w:rPr>
          <w:rFonts w:asciiTheme="majorHAnsi" w:hAnsiTheme="majorHAnsi"/>
          <w:lang w:val="fr-FR"/>
        </w:rPr>
        <w:t>, val</w:t>
      </w:r>
      <w:r w:rsidR="00525FC8" w:rsidRPr="00E43D38">
        <w:rPr>
          <w:rFonts w:asciiTheme="majorHAnsi" w:hAnsiTheme="majorHAnsi"/>
          <w:lang w:val="fr-FR"/>
        </w:rPr>
        <w:t>eur</w:t>
      </w:r>
      <w:r w:rsidR="00A77AB5" w:rsidRPr="00E43D38">
        <w:rPr>
          <w:rFonts w:asciiTheme="majorHAnsi" w:hAnsiTheme="majorHAnsi"/>
          <w:lang w:val="fr-FR"/>
        </w:rPr>
        <w:t xml:space="preserve"> p =0,000</w:t>
      </w:r>
      <w:r w:rsidR="00A77AB5" w:rsidRPr="00E43D38">
        <w:rPr>
          <w:rFonts w:ascii="Calibri" w:eastAsia="Times New Roman" w:hAnsi="Calibri" w:cs="Times New Roman"/>
          <w:lang w:val="fr-FR"/>
        </w:rPr>
        <w:t>)</w:t>
      </w:r>
      <w:r w:rsidR="00A77AB5" w:rsidRPr="00E43D38">
        <w:rPr>
          <w:rFonts w:asciiTheme="majorHAnsi" w:hAnsiTheme="majorHAnsi"/>
          <w:lang w:val="fr-FR"/>
        </w:rPr>
        <w:t>. Entre to</w:t>
      </w:r>
      <w:r w:rsidR="00525FC8" w:rsidRPr="00E43D38">
        <w:rPr>
          <w:rFonts w:asciiTheme="majorHAnsi" w:hAnsiTheme="majorHAnsi"/>
          <w:lang w:val="fr-FR"/>
        </w:rPr>
        <w:t>utes</w:t>
      </w:r>
      <w:r w:rsidR="00A77AB5" w:rsidRPr="00E43D38">
        <w:rPr>
          <w:rFonts w:asciiTheme="majorHAnsi" w:hAnsiTheme="majorHAnsi"/>
          <w:lang w:val="fr-FR"/>
        </w:rPr>
        <w:t xml:space="preserve"> </w:t>
      </w:r>
      <w:r w:rsidR="00E2022E" w:rsidRPr="00E43D38">
        <w:rPr>
          <w:rFonts w:asciiTheme="majorHAnsi" w:hAnsiTheme="majorHAnsi"/>
          <w:lang w:val="fr-FR"/>
        </w:rPr>
        <w:t xml:space="preserve">les </w:t>
      </w:r>
      <w:r w:rsidR="00525FC8" w:rsidRPr="00E43D38">
        <w:rPr>
          <w:rFonts w:asciiTheme="majorHAnsi" w:hAnsiTheme="majorHAnsi"/>
          <w:lang w:val="fr-FR"/>
        </w:rPr>
        <w:t>communes cette</w:t>
      </w:r>
      <w:r w:rsidR="00A77AB5" w:rsidRPr="00E43D38">
        <w:rPr>
          <w:rFonts w:asciiTheme="majorHAnsi" w:hAnsiTheme="majorHAnsi"/>
          <w:lang w:val="fr-FR"/>
        </w:rPr>
        <w:t xml:space="preserve"> </w:t>
      </w:r>
      <w:r w:rsidRPr="00E43D38">
        <w:rPr>
          <w:rFonts w:asciiTheme="majorHAnsi" w:hAnsiTheme="majorHAnsi"/>
          <w:lang w:val="fr-FR"/>
        </w:rPr>
        <w:t>corrélation</w:t>
      </w:r>
      <w:r w:rsidR="00525FC8" w:rsidRPr="00E43D38">
        <w:rPr>
          <w:rFonts w:asciiTheme="majorHAnsi" w:hAnsiTheme="majorHAnsi"/>
          <w:lang w:val="fr-FR"/>
        </w:rPr>
        <w:t xml:space="preserve"> est significative et intense</w:t>
      </w:r>
      <w:r w:rsidR="00A77AB5" w:rsidRPr="00E43D38">
        <w:rPr>
          <w:rFonts w:asciiTheme="majorHAnsi" w:hAnsiTheme="majorHAnsi"/>
          <w:lang w:val="fr-FR"/>
        </w:rPr>
        <w:t>, e</w:t>
      </w:r>
      <w:r w:rsidR="00525FC8" w:rsidRPr="00E43D38">
        <w:rPr>
          <w:rFonts w:asciiTheme="majorHAnsi" w:hAnsiTheme="majorHAnsi"/>
          <w:lang w:val="fr-FR"/>
        </w:rPr>
        <w:t>t elle augmente légèrement quand on exclu</w:t>
      </w:r>
      <w:r w:rsidR="002702A4" w:rsidRPr="00E43D38">
        <w:rPr>
          <w:rFonts w:asciiTheme="majorHAnsi" w:hAnsiTheme="majorHAnsi"/>
          <w:lang w:val="fr-FR"/>
        </w:rPr>
        <w:t xml:space="preserve">t </w:t>
      </w:r>
      <w:r w:rsidR="002702A4">
        <w:rPr>
          <w:rFonts w:asciiTheme="majorHAnsi" w:hAnsiTheme="majorHAnsi"/>
          <w:lang w:val="fr-FR"/>
        </w:rPr>
        <w:t>de cette analyse les quatre municipalités</w:t>
      </w:r>
      <w:r w:rsidR="00931513">
        <w:rPr>
          <w:rFonts w:asciiTheme="majorHAnsi" w:hAnsiTheme="majorHAnsi"/>
          <w:lang w:val="fr-FR"/>
        </w:rPr>
        <w:t xml:space="preserve"> ayant le plus </w:t>
      </w:r>
      <w:r>
        <w:rPr>
          <w:rFonts w:asciiTheme="majorHAnsi" w:hAnsiTheme="majorHAnsi"/>
          <w:lang w:val="fr-FR"/>
        </w:rPr>
        <w:t>important</w:t>
      </w:r>
      <w:r w:rsidR="00931513">
        <w:rPr>
          <w:rFonts w:asciiTheme="majorHAnsi" w:hAnsiTheme="majorHAnsi"/>
          <w:lang w:val="fr-FR"/>
        </w:rPr>
        <w:t xml:space="preserve"> volume de </w:t>
      </w:r>
      <w:r w:rsidR="002702A4">
        <w:rPr>
          <w:rFonts w:asciiTheme="majorHAnsi" w:hAnsiTheme="majorHAnsi"/>
          <w:lang w:val="fr-FR"/>
        </w:rPr>
        <w:t xml:space="preserve">familles </w:t>
      </w:r>
      <w:r w:rsidR="00A77AB5" w:rsidRPr="00525FC8">
        <w:rPr>
          <w:rFonts w:asciiTheme="majorHAnsi" w:hAnsiTheme="majorHAnsi"/>
          <w:lang w:val="fr-FR"/>
        </w:rPr>
        <w:t>(</w:t>
      </w:r>
      <w:r w:rsidR="00A77AB5" w:rsidRPr="00525FC8">
        <w:rPr>
          <w:rFonts w:ascii="Calibri" w:eastAsia="Times New Roman" w:hAnsi="Calibri" w:cs="Times New Roman"/>
          <w:color w:val="000000"/>
          <w:lang w:val="fr-FR"/>
        </w:rPr>
        <w:t>Pearson=0, 851</w:t>
      </w:r>
      <w:r w:rsidR="00A77AB5" w:rsidRPr="00525FC8">
        <w:rPr>
          <w:rFonts w:asciiTheme="majorHAnsi" w:hAnsiTheme="majorHAnsi"/>
          <w:lang w:val="fr-FR"/>
        </w:rPr>
        <w:t>, val</w:t>
      </w:r>
      <w:r w:rsidR="00931513">
        <w:rPr>
          <w:rFonts w:asciiTheme="majorHAnsi" w:hAnsiTheme="majorHAnsi"/>
          <w:lang w:val="fr-FR"/>
        </w:rPr>
        <w:t>eu</w:t>
      </w:r>
      <w:r w:rsidR="00A77AB5" w:rsidRPr="00525FC8">
        <w:rPr>
          <w:rFonts w:asciiTheme="majorHAnsi" w:hAnsiTheme="majorHAnsi"/>
          <w:lang w:val="fr-FR"/>
        </w:rPr>
        <w:t>r p =0,000</w:t>
      </w:r>
      <w:r w:rsidR="00A77AB5" w:rsidRPr="00525FC8">
        <w:rPr>
          <w:rFonts w:ascii="Calibri" w:eastAsia="Times New Roman" w:hAnsi="Calibri" w:cs="Times New Roman"/>
          <w:color w:val="000000"/>
          <w:lang w:val="fr-FR"/>
        </w:rPr>
        <w:t>)</w:t>
      </w:r>
      <w:r w:rsidR="00931513">
        <w:rPr>
          <w:rFonts w:asciiTheme="majorHAnsi" w:hAnsiTheme="majorHAnsi"/>
          <w:lang w:val="fr-FR"/>
        </w:rPr>
        <w:t xml:space="preserve"> </w:t>
      </w:r>
      <w:r w:rsidR="0095424D">
        <w:rPr>
          <w:rFonts w:asciiTheme="majorHAnsi" w:hAnsiTheme="majorHAnsi"/>
          <w:lang w:val="fr-FR"/>
        </w:rPr>
        <w:t>ainsi</w:t>
      </w:r>
      <w:r w:rsidR="00931513">
        <w:rPr>
          <w:rFonts w:asciiTheme="majorHAnsi" w:hAnsiTheme="majorHAnsi"/>
          <w:lang w:val="fr-FR"/>
        </w:rPr>
        <w:t xml:space="preserve"> que les </w:t>
      </w:r>
      <w:r w:rsidR="00A77AB5" w:rsidRPr="00525FC8">
        <w:rPr>
          <w:rFonts w:asciiTheme="majorHAnsi" w:hAnsiTheme="majorHAnsi"/>
          <w:lang w:val="fr-FR"/>
        </w:rPr>
        <w:t xml:space="preserve">22 </w:t>
      </w:r>
      <w:r w:rsidR="00931513">
        <w:rPr>
          <w:rFonts w:asciiTheme="majorHAnsi" w:hAnsiTheme="majorHAnsi"/>
          <w:lang w:val="fr-FR"/>
        </w:rPr>
        <w:t xml:space="preserve">ayant le plus </w:t>
      </w:r>
      <w:r>
        <w:rPr>
          <w:rFonts w:asciiTheme="majorHAnsi" w:hAnsiTheme="majorHAnsi"/>
          <w:lang w:val="fr-FR"/>
        </w:rPr>
        <w:t>important</w:t>
      </w:r>
      <w:r w:rsidR="002702A4">
        <w:rPr>
          <w:rFonts w:asciiTheme="majorHAnsi" w:hAnsiTheme="majorHAnsi"/>
          <w:lang w:val="fr-FR"/>
        </w:rPr>
        <w:t xml:space="preserve"> volume de familles</w:t>
      </w:r>
      <w:r w:rsidR="00A77AB5" w:rsidRPr="00525FC8">
        <w:rPr>
          <w:rFonts w:asciiTheme="majorHAnsi" w:hAnsiTheme="majorHAnsi"/>
          <w:lang w:val="fr-FR"/>
        </w:rPr>
        <w:t xml:space="preserve"> (</w:t>
      </w:r>
      <w:r w:rsidR="00A77AB5" w:rsidRPr="00525FC8">
        <w:rPr>
          <w:rFonts w:ascii="Calibri" w:eastAsia="Times New Roman" w:hAnsi="Calibri" w:cs="Times New Roman"/>
          <w:color w:val="000000"/>
          <w:lang w:val="fr-FR"/>
        </w:rPr>
        <w:t>Pearson=0, 852</w:t>
      </w:r>
      <w:r w:rsidR="00931513">
        <w:rPr>
          <w:rFonts w:asciiTheme="majorHAnsi" w:hAnsiTheme="majorHAnsi"/>
          <w:lang w:val="fr-FR"/>
        </w:rPr>
        <w:t>, valeur</w:t>
      </w:r>
      <w:r w:rsidR="00A77AB5" w:rsidRPr="00525FC8">
        <w:rPr>
          <w:rFonts w:asciiTheme="majorHAnsi" w:hAnsiTheme="majorHAnsi"/>
          <w:lang w:val="fr-FR"/>
        </w:rPr>
        <w:t xml:space="preserve"> p =0,000</w:t>
      </w:r>
      <w:r w:rsidR="00A77AB5" w:rsidRPr="00525FC8">
        <w:rPr>
          <w:rFonts w:ascii="Calibri" w:eastAsia="Times New Roman" w:hAnsi="Calibri" w:cs="Times New Roman"/>
          <w:color w:val="000000"/>
          <w:lang w:val="fr-FR"/>
        </w:rPr>
        <w:t>)</w:t>
      </w:r>
      <w:r w:rsidR="00A77AB5" w:rsidRPr="00525FC8">
        <w:rPr>
          <w:rFonts w:asciiTheme="majorHAnsi" w:hAnsiTheme="majorHAnsi"/>
          <w:lang w:val="fr-FR"/>
        </w:rPr>
        <w:t>.</w:t>
      </w:r>
    </w:p>
    <w:p w14:paraId="00B227AC" w14:textId="77777777" w:rsidR="00F339BA" w:rsidRPr="0095424D" w:rsidRDefault="0095424D" w:rsidP="00A77AB5">
      <w:pPr>
        <w:jc w:val="both"/>
        <w:rPr>
          <w:rFonts w:asciiTheme="majorHAnsi" w:hAnsiTheme="majorHAnsi"/>
          <w:lang w:val="fr-FR"/>
        </w:rPr>
      </w:pPr>
      <w:r w:rsidRPr="0095424D">
        <w:rPr>
          <w:rFonts w:asciiTheme="majorHAnsi" w:hAnsiTheme="majorHAnsi"/>
          <w:lang w:val="fr-FR"/>
        </w:rPr>
        <w:t>Dans l’ensemble de</w:t>
      </w:r>
      <w:r w:rsidR="00A77AB5" w:rsidRPr="0095424D">
        <w:rPr>
          <w:rFonts w:asciiTheme="majorHAnsi" w:hAnsiTheme="majorHAnsi"/>
          <w:lang w:val="fr-FR"/>
        </w:rPr>
        <w:t>s 22 co</w:t>
      </w:r>
      <w:r w:rsidRPr="0095424D">
        <w:rPr>
          <w:rFonts w:asciiTheme="majorHAnsi" w:hAnsiTheme="majorHAnsi"/>
          <w:lang w:val="fr-FR"/>
        </w:rPr>
        <w:t xml:space="preserve">mmunes, la </w:t>
      </w:r>
      <w:r w:rsidR="00B509CF" w:rsidRPr="0095424D">
        <w:rPr>
          <w:rFonts w:asciiTheme="majorHAnsi" w:hAnsiTheme="majorHAnsi"/>
          <w:lang w:val="fr-FR"/>
        </w:rPr>
        <w:t>corrélation</w:t>
      </w:r>
      <w:r w:rsidR="00A77AB5" w:rsidRPr="0095424D">
        <w:rPr>
          <w:rFonts w:asciiTheme="majorHAnsi" w:hAnsiTheme="majorHAnsi"/>
          <w:lang w:val="fr-FR"/>
        </w:rPr>
        <w:t xml:space="preserve"> diminu</w:t>
      </w:r>
      <w:r w:rsidRPr="0095424D">
        <w:rPr>
          <w:rFonts w:asciiTheme="majorHAnsi" w:hAnsiTheme="majorHAnsi"/>
          <w:lang w:val="fr-FR"/>
        </w:rPr>
        <w:t>e</w:t>
      </w:r>
      <w:r w:rsidR="00A77AB5" w:rsidRPr="0095424D">
        <w:rPr>
          <w:rFonts w:asciiTheme="majorHAnsi" w:hAnsiTheme="majorHAnsi"/>
          <w:lang w:val="fr-FR"/>
        </w:rPr>
        <w:t xml:space="preserve"> </w:t>
      </w:r>
      <w:r w:rsidRPr="0095424D">
        <w:rPr>
          <w:rFonts w:asciiTheme="majorHAnsi" w:hAnsiTheme="majorHAnsi"/>
          <w:lang w:val="fr-FR"/>
        </w:rPr>
        <w:t>un peu mais reste significative</w:t>
      </w:r>
      <w:r w:rsidR="00A77AB5" w:rsidRPr="0095424D">
        <w:rPr>
          <w:rFonts w:asciiTheme="majorHAnsi" w:hAnsiTheme="majorHAnsi"/>
          <w:lang w:val="fr-FR"/>
        </w:rPr>
        <w:t xml:space="preserve"> (</w:t>
      </w:r>
      <w:r w:rsidR="00A77AB5" w:rsidRPr="0095424D">
        <w:rPr>
          <w:rFonts w:ascii="Calibri" w:eastAsia="Times New Roman" w:hAnsi="Calibri" w:cs="Times New Roman"/>
          <w:color w:val="000000"/>
          <w:lang w:val="fr-FR"/>
        </w:rPr>
        <w:t>Pearson=0, 762</w:t>
      </w:r>
      <w:r w:rsidR="00A77AB5" w:rsidRPr="0095424D">
        <w:rPr>
          <w:rFonts w:asciiTheme="majorHAnsi" w:hAnsiTheme="majorHAnsi"/>
          <w:lang w:val="fr-FR"/>
        </w:rPr>
        <w:t>, val</w:t>
      </w:r>
      <w:r>
        <w:rPr>
          <w:rFonts w:asciiTheme="majorHAnsi" w:hAnsiTheme="majorHAnsi"/>
          <w:lang w:val="fr-FR"/>
        </w:rPr>
        <w:t>eur</w:t>
      </w:r>
      <w:r w:rsidR="00A77AB5" w:rsidRPr="0095424D">
        <w:rPr>
          <w:rFonts w:asciiTheme="majorHAnsi" w:hAnsiTheme="majorHAnsi"/>
          <w:lang w:val="fr-FR"/>
        </w:rPr>
        <w:t xml:space="preserve"> p =0,000</w:t>
      </w:r>
      <w:r w:rsidR="00A77AB5" w:rsidRPr="0095424D">
        <w:rPr>
          <w:rFonts w:ascii="Calibri" w:eastAsia="Times New Roman" w:hAnsi="Calibri" w:cs="Times New Roman"/>
          <w:color w:val="000000"/>
          <w:lang w:val="fr-FR"/>
        </w:rPr>
        <w:t>)</w:t>
      </w:r>
      <w:r w:rsidR="00A77AB5" w:rsidRPr="0095424D">
        <w:rPr>
          <w:rFonts w:asciiTheme="majorHAnsi" w:hAnsiTheme="majorHAnsi"/>
          <w:lang w:val="fr-FR"/>
        </w:rPr>
        <w:t xml:space="preserve">. </w:t>
      </w:r>
    </w:p>
    <w:p w14:paraId="4DA890CE" w14:textId="77777777" w:rsidR="00A77AB5" w:rsidRPr="00083AF8" w:rsidRDefault="00421D80" w:rsidP="00A77AB5">
      <w:pPr>
        <w:jc w:val="both"/>
        <w:rPr>
          <w:rFonts w:asciiTheme="majorHAnsi" w:hAnsiTheme="majorHAnsi"/>
          <w:highlight w:val="lightGray"/>
          <w:lang w:val="fr-FR"/>
        </w:rPr>
      </w:pPr>
      <w:r w:rsidRPr="00421D80">
        <w:rPr>
          <w:rFonts w:asciiTheme="majorHAnsi" w:hAnsiTheme="majorHAnsi"/>
          <w:lang w:val="fr-FR"/>
        </w:rPr>
        <w:lastRenderedPageBreak/>
        <w:t xml:space="preserve">En ce qui concerne les personnes </w:t>
      </w:r>
      <w:r w:rsidR="00F05969">
        <w:rPr>
          <w:rFonts w:asciiTheme="majorHAnsi" w:hAnsiTheme="majorHAnsi"/>
          <w:lang w:val="fr-FR"/>
        </w:rPr>
        <w:t>ayant</w:t>
      </w:r>
      <w:r w:rsidRPr="00421D80">
        <w:rPr>
          <w:rFonts w:asciiTheme="majorHAnsi" w:hAnsiTheme="majorHAnsi"/>
          <w:lang w:val="fr-FR"/>
        </w:rPr>
        <w:t xml:space="preserve"> </w:t>
      </w:r>
      <w:r w:rsidR="00F05969" w:rsidRPr="00421D80">
        <w:rPr>
          <w:rFonts w:asciiTheme="majorHAnsi" w:hAnsiTheme="majorHAnsi"/>
          <w:lang w:val="fr-FR"/>
        </w:rPr>
        <w:t>changé</w:t>
      </w:r>
      <w:r w:rsidR="002702A4" w:rsidRPr="00E43D38">
        <w:rPr>
          <w:rFonts w:asciiTheme="majorHAnsi" w:hAnsiTheme="majorHAnsi"/>
          <w:lang w:val="fr-FR"/>
        </w:rPr>
        <w:t xml:space="preserve"> </w:t>
      </w:r>
      <w:r w:rsidR="00D5016A" w:rsidRPr="00E43D38">
        <w:rPr>
          <w:rFonts w:asciiTheme="majorHAnsi" w:hAnsiTheme="majorHAnsi"/>
          <w:lang w:val="fr-FR"/>
        </w:rPr>
        <w:t>la</w:t>
      </w:r>
      <w:r w:rsidR="00D5016A">
        <w:rPr>
          <w:rFonts w:asciiTheme="majorHAnsi" w:hAnsiTheme="majorHAnsi"/>
          <w:color w:val="FF0000"/>
          <w:lang w:val="fr-FR"/>
        </w:rPr>
        <w:t xml:space="preserve"> </w:t>
      </w:r>
      <w:r w:rsidR="002702A4">
        <w:rPr>
          <w:rFonts w:asciiTheme="majorHAnsi" w:hAnsiTheme="majorHAnsi"/>
          <w:lang w:val="fr-FR"/>
        </w:rPr>
        <w:t>municipalité</w:t>
      </w:r>
      <w:r w:rsidRPr="00421D80">
        <w:rPr>
          <w:rFonts w:asciiTheme="majorHAnsi" w:hAnsiTheme="majorHAnsi"/>
          <w:lang w:val="fr-FR"/>
        </w:rPr>
        <w:t xml:space="preserve"> de résidence et celles   venues de l’</w:t>
      </w:r>
      <w:r w:rsidR="00B509CF" w:rsidRPr="00421D80">
        <w:rPr>
          <w:rFonts w:asciiTheme="majorHAnsi" w:hAnsiTheme="majorHAnsi"/>
          <w:lang w:val="fr-FR"/>
        </w:rPr>
        <w:t>extérieur</w:t>
      </w:r>
      <w:r w:rsidR="00B509CF" w:rsidRPr="00E43D38">
        <w:rPr>
          <w:rFonts w:asciiTheme="majorHAnsi" w:hAnsiTheme="majorHAnsi"/>
          <w:lang w:val="fr-FR"/>
        </w:rPr>
        <w:t>,</w:t>
      </w:r>
      <w:r w:rsidRPr="00E43D38">
        <w:rPr>
          <w:rFonts w:asciiTheme="majorHAnsi" w:hAnsiTheme="majorHAnsi"/>
          <w:lang w:val="fr-FR"/>
        </w:rPr>
        <w:t xml:space="preserve"> on </w:t>
      </w:r>
      <w:r w:rsidR="002702A4" w:rsidRPr="00E43D38">
        <w:rPr>
          <w:rFonts w:asciiTheme="majorHAnsi" w:hAnsiTheme="majorHAnsi"/>
          <w:lang w:val="fr-FR"/>
        </w:rPr>
        <w:t>observe</w:t>
      </w:r>
      <w:r w:rsidR="00E2022E" w:rsidRPr="00E43D38">
        <w:rPr>
          <w:rFonts w:asciiTheme="majorHAnsi" w:hAnsiTheme="majorHAnsi"/>
          <w:lang w:val="fr-FR"/>
        </w:rPr>
        <w:t xml:space="preserve"> qu’elles</w:t>
      </w:r>
      <w:r w:rsidR="002702A4" w:rsidRPr="00E43D38">
        <w:rPr>
          <w:rFonts w:asciiTheme="majorHAnsi" w:hAnsiTheme="majorHAnsi"/>
          <w:lang w:val="fr-FR"/>
        </w:rPr>
        <w:t xml:space="preserve"> induisent des ass</w:t>
      </w:r>
      <w:r w:rsidR="0018252B" w:rsidRPr="00E43D38">
        <w:rPr>
          <w:rFonts w:asciiTheme="majorHAnsi" w:hAnsiTheme="majorHAnsi"/>
          <w:lang w:val="fr-FR"/>
        </w:rPr>
        <w:t>ociations clairement distinctes</w:t>
      </w:r>
      <w:r w:rsidR="002702A4" w:rsidRPr="00E43D38">
        <w:rPr>
          <w:rFonts w:asciiTheme="majorHAnsi" w:hAnsiTheme="majorHAnsi"/>
          <w:lang w:val="fr-FR"/>
        </w:rPr>
        <w:t xml:space="preserve"> </w:t>
      </w:r>
      <w:r w:rsidR="0018252B" w:rsidRPr="00E43D38">
        <w:rPr>
          <w:rFonts w:asciiTheme="majorHAnsi" w:hAnsiTheme="majorHAnsi"/>
          <w:lang w:val="fr-FR"/>
        </w:rPr>
        <w:t>du</w:t>
      </w:r>
      <w:r w:rsidR="00E2022E" w:rsidRPr="00E43D38">
        <w:rPr>
          <w:rFonts w:asciiTheme="majorHAnsi" w:hAnsiTheme="majorHAnsi"/>
          <w:lang w:val="fr-FR"/>
        </w:rPr>
        <w:t xml:space="preserve"> taux de variation du nombre de familles. En effet</w:t>
      </w:r>
      <w:r w:rsidR="00F141C9" w:rsidRPr="00E43D38">
        <w:rPr>
          <w:rFonts w:asciiTheme="majorHAnsi" w:hAnsiTheme="majorHAnsi"/>
          <w:lang w:val="fr-FR"/>
        </w:rPr>
        <w:t>,</w:t>
      </w:r>
      <w:r w:rsidR="00E2022E" w:rsidRPr="00E43D38">
        <w:rPr>
          <w:rFonts w:asciiTheme="majorHAnsi" w:hAnsiTheme="majorHAnsi"/>
          <w:lang w:val="fr-FR"/>
        </w:rPr>
        <w:t xml:space="preserve"> dans l’ensemble des </w:t>
      </w:r>
      <w:r w:rsidR="0082062E" w:rsidRPr="00E43D38">
        <w:rPr>
          <w:rFonts w:asciiTheme="majorHAnsi" w:hAnsiTheme="majorHAnsi"/>
          <w:lang w:val="fr-FR"/>
        </w:rPr>
        <w:t>municipalités</w:t>
      </w:r>
      <w:r w:rsidR="00F141C9" w:rsidRPr="00E43D38">
        <w:rPr>
          <w:rFonts w:asciiTheme="majorHAnsi" w:hAnsiTheme="majorHAnsi"/>
          <w:lang w:val="fr-FR"/>
        </w:rPr>
        <w:t>, et ainsi que dans</w:t>
      </w:r>
      <w:r w:rsidR="006E32F9" w:rsidRPr="00E43D38">
        <w:rPr>
          <w:rFonts w:asciiTheme="majorHAnsi" w:hAnsiTheme="majorHAnsi"/>
          <w:lang w:val="fr-FR"/>
        </w:rPr>
        <w:t xml:space="preserve"> celles</w:t>
      </w:r>
      <w:r w:rsidR="00F141C9" w:rsidRPr="00E43D38">
        <w:rPr>
          <w:rFonts w:asciiTheme="majorHAnsi" w:hAnsiTheme="majorHAnsi"/>
          <w:lang w:val="fr-FR"/>
        </w:rPr>
        <w:t xml:space="preserve"> </w:t>
      </w:r>
      <w:r w:rsidR="00D5016A" w:rsidRPr="00E43D38">
        <w:rPr>
          <w:rFonts w:asciiTheme="majorHAnsi" w:hAnsiTheme="majorHAnsi"/>
          <w:lang w:val="fr-FR"/>
        </w:rPr>
        <w:t xml:space="preserve">(4 ou 22) </w:t>
      </w:r>
      <w:r w:rsidR="00F141C9" w:rsidRPr="00E43D38">
        <w:rPr>
          <w:rFonts w:asciiTheme="majorHAnsi" w:hAnsiTheme="majorHAnsi"/>
          <w:lang w:val="fr-FR"/>
        </w:rPr>
        <w:t>ayant</w:t>
      </w:r>
      <w:r w:rsidR="00E2022E" w:rsidRPr="00E43D38">
        <w:rPr>
          <w:rFonts w:asciiTheme="majorHAnsi" w:hAnsiTheme="majorHAnsi"/>
          <w:lang w:val="fr-FR"/>
        </w:rPr>
        <w:t xml:space="preserve"> le </w:t>
      </w:r>
      <w:r w:rsidR="006E32F9" w:rsidRPr="00E43D38">
        <w:rPr>
          <w:rFonts w:asciiTheme="majorHAnsi" w:hAnsiTheme="majorHAnsi"/>
          <w:lang w:val="fr-FR"/>
        </w:rPr>
        <w:t>plus grand nombre de familles</w:t>
      </w:r>
      <w:r w:rsidR="00F141C9" w:rsidRPr="00E43D38">
        <w:rPr>
          <w:rFonts w:asciiTheme="majorHAnsi" w:hAnsiTheme="majorHAnsi"/>
          <w:lang w:val="fr-FR"/>
        </w:rPr>
        <w:t>,</w:t>
      </w:r>
      <w:r w:rsidR="006E32F9" w:rsidRPr="00E43D38">
        <w:rPr>
          <w:rFonts w:asciiTheme="majorHAnsi" w:hAnsiTheme="majorHAnsi"/>
          <w:lang w:val="fr-FR"/>
        </w:rPr>
        <w:t xml:space="preserve"> on trouve une association significative</w:t>
      </w:r>
      <w:r w:rsidR="00F141C9" w:rsidRPr="00E43D38">
        <w:rPr>
          <w:rFonts w:asciiTheme="majorHAnsi" w:hAnsiTheme="majorHAnsi"/>
          <w:lang w:val="fr-FR"/>
        </w:rPr>
        <w:t>,</w:t>
      </w:r>
      <w:r w:rsidR="006E32F9" w:rsidRPr="00E43D38">
        <w:rPr>
          <w:rFonts w:asciiTheme="majorHAnsi" w:hAnsiTheme="majorHAnsi"/>
          <w:lang w:val="fr-FR"/>
        </w:rPr>
        <w:t xml:space="preserve"> quoique faible</w:t>
      </w:r>
      <w:r w:rsidR="00F141C9" w:rsidRPr="00E43D38">
        <w:rPr>
          <w:rFonts w:asciiTheme="majorHAnsi" w:hAnsiTheme="majorHAnsi"/>
          <w:lang w:val="fr-FR"/>
        </w:rPr>
        <w:t>,</w:t>
      </w:r>
      <w:r w:rsidR="006E32F9" w:rsidRPr="00E43D38">
        <w:rPr>
          <w:rFonts w:asciiTheme="majorHAnsi" w:hAnsiTheme="majorHAnsi"/>
          <w:lang w:val="fr-FR"/>
        </w:rPr>
        <w:t xml:space="preserve"> entre le taux de migration in</w:t>
      </w:r>
      <w:r w:rsidR="00F141C9" w:rsidRPr="00E43D38">
        <w:rPr>
          <w:rFonts w:asciiTheme="majorHAnsi" w:hAnsiTheme="majorHAnsi"/>
          <w:lang w:val="fr-FR"/>
        </w:rPr>
        <w:t>terne et le taux de variation du</w:t>
      </w:r>
      <w:r w:rsidR="006E32F9" w:rsidRPr="00E43D38">
        <w:rPr>
          <w:rFonts w:asciiTheme="majorHAnsi" w:hAnsiTheme="majorHAnsi"/>
          <w:lang w:val="fr-FR"/>
        </w:rPr>
        <w:t xml:space="preserve"> nombre de familles (</w:t>
      </w:r>
      <w:r w:rsidR="006E32F9" w:rsidRPr="00E43D38">
        <w:rPr>
          <w:rFonts w:ascii="Calibri" w:eastAsia="Times New Roman" w:hAnsi="Calibri" w:cs="Times New Roman"/>
          <w:color w:val="000000"/>
          <w:lang w:val="fr-FR"/>
        </w:rPr>
        <w:t>0, 219&lt;=Pearson&lt;=0,260</w:t>
      </w:r>
      <w:r w:rsidR="006E32F9" w:rsidRPr="00E43D38">
        <w:rPr>
          <w:rFonts w:asciiTheme="majorHAnsi" w:hAnsiTheme="majorHAnsi"/>
          <w:lang w:val="fr-FR"/>
        </w:rPr>
        <w:t>, valeur p =0,000</w:t>
      </w:r>
      <w:r w:rsidR="006E32F9" w:rsidRPr="00E43D38">
        <w:rPr>
          <w:rFonts w:ascii="Calibri" w:eastAsia="Times New Roman" w:hAnsi="Calibri" w:cs="Times New Roman"/>
          <w:color w:val="000000"/>
          <w:lang w:val="fr-FR"/>
        </w:rPr>
        <w:t xml:space="preserve">); l’association </w:t>
      </w:r>
      <w:r w:rsidR="00093B76" w:rsidRPr="00E43D38">
        <w:rPr>
          <w:rFonts w:asciiTheme="majorHAnsi" w:hAnsiTheme="majorHAnsi"/>
          <w:lang w:val="fr-FR"/>
        </w:rPr>
        <w:t>est</w:t>
      </w:r>
      <w:r w:rsidR="006E32F9" w:rsidRPr="00E43D38">
        <w:rPr>
          <w:rFonts w:asciiTheme="majorHAnsi" w:hAnsiTheme="majorHAnsi"/>
          <w:lang w:val="fr-FR"/>
        </w:rPr>
        <w:t xml:space="preserve"> plus faible si l’o</w:t>
      </w:r>
      <w:r w:rsidR="00F141C9" w:rsidRPr="00E43D38">
        <w:rPr>
          <w:rFonts w:asciiTheme="majorHAnsi" w:hAnsiTheme="majorHAnsi"/>
          <w:lang w:val="fr-FR"/>
        </w:rPr>
        <w:t xml:space="preserve">n considère le taux de </w:t>
      </w:r>
      <w:r w:rsidR="00D5016A" w:rsidRPr="00E43D38">
        <w:rPr>
          <w:rFonts w:asciiTheme="majorHAnsi" w:hAnsiTheme="majorHAnsi"/>
          <w:lang w:val="fr-FR"/>
        </w:rPr>
        <w:t>familles </w:t>
      </w:r>
      <w:r w:rsidR="00093B76" w:rsidRPr="00E43D38">
        <w:rPr>
          <w:rFonts w:asciiTheme="majorHAnsi" w:hAnsiTheme="majorHAnsi"/>
          <w:lang w:val="fr-FR"/>
        </w:rPr>
        <w:t xml:space="preserve"> provenant de l’étranger (</w:t>
      </w:r>
      <w:r w:rsidR="00093B76" w:rsidRPr="00E43D38">
        <w:rPr>
          <w:rFonts w:ascii="Calibri" w:eastAsia="Times New Roman" w:hAnsi="Calibri" w:cs="Times New Roman"/>
          <w:color w:val="000000"/>
          <w:lang w:val="fr-FR"/>
        </w:rPr>
        <w:t>Pearson entre 0,153 et 0,170</w:t>
      </w:r>
      <w:r w:rsidR="00093B76" w:rsidRPr="00E43D38">
        <w:rPr>
          <w:rFonts w:asciiTheme="majorHAnsi" w:hAnsiTheme="majorHAnsi"/>
          <w:lang w:val="fr-FR"/>
        </w:rPr>
        <w:t xml:space="preserve">, valeur p =0,007. En </w:t>
      </w:r>
      <w:r w:rsidR="00083AF8" w:rsidRPr="00E43D38">
        <w:rPr>
          <w:rFonts w:asciiTheme="majorHAnsi" w:hAnsiTheme="majorHAnsi"/>
          <w:lang w:val="fr-FR"/>
        </w:rPr>
        <w:t>c</w:t>
      </w:r>
      <w:r w:rsidR="00093B76" w:rsidRPr="00E43D38">
        <w:rPr>
          <w:rFonts w:asciiTheme="majorHAnsi" w:hAnsiTheme="majorHAnsi"/>
          <w:lang w:val="fr-FR"/>
        </w:rPr>
        <w:t>onsidérant</w:t>
      </w:r>
      <w:r w:rsidR="00D5016A" w:rsidRPr="00E43D38">
        <w:rPr>
          <w:rFonts w:asciiTheme="majorHAnsi" w:hAnsiTheme="majorHAnsi"/>
          <w:lang w:val="fr-FR"/>
        </w:rPr>
        <w:t xml:space="preserve"> seulement</w:t>
      </w:r>
      <w:r w:rsidR="00093B76" w:rsidRPr="00E43D38">
        <w:rPr>
          <w:rFonts w:asciiTheme="majorHAnsi" w:hAnsiTheme="majorHAnsi"/>
          <w:lang w:val="fr-FR"/>
        </w:rPr>
        <w:t xml:space="preserve"> les 22 municipalités ayant le plus </w:t>
      </w:r>
      <w:r w:rsidR="00D5016A" w:rsidRPr="00E43D38">
        <w:rPr>
          <w:rFonts w:asciiTheme="majorHAnsi" w:hAnsiTheme="majorHAnsi"/>
          <w:lang w:val="fr-FR"/>
        </w:rPr>
        <w:t>grand</w:t>
      </w:r>
      <w:r w:rsidR="00093B76" w:rsidRPr="00E43D38">
        <w:rPr>
          <w:rFonts w:asciiTheme="majorHAnsi" w:hAnsiTheme="majorHAnsi"/>
          <w:lang w:val="fr-FR"/>
        </w:rPr>
        <w:t xml:space="preserve"> nombre de familles</w:t>
      </w:r>
      <w:r w:rsidR="00F141C9" w:rsidRPr="00E43D38">
        <w:rPr>
          <w:rFonts w:asciiTheme="majorHAnsi" w:hAnsiTheme="majorHAnsi"/>
          <w:lang w:val="fr-FR"/>
        </w:rPr>
        <w:t>,</w:t>
      </w:r>
      <w:r w:rsidR="00093B76" w:rsidRPr="00E43D38">
        <w:rPr>
          <w:rFonts w:asciiTheme="majorHAnsi" w:hAnsiTheme="majorHAnsi"/>
          <w:lang w:val="fr-FR"/>
        </w:rPr>
        <w:t xml:space="preserve"> </w:t>
      </w:r>
      <w:r w:rsidR="0040096C" w:rsidRPr="00E43D38">
        <w:rPr>
          <w:rFonts w:asciiTheme="majorHAnsi" w:hAnsiTheme="majorHAnsi"/>
          <w:lang w:val="fr-FR"/>
        </w:rPr>
        <w:t>le rap</w:t>
      </w:r>
      <w:r w:rsidR="00083AF8" w:rsidRPr="00E43D38">
        <w:rPr>
          <w:rFonts w:asciiTheme="majorHAnsi" w:hAnsiTheme="majorHAnsi"/>
          <w:lang w:val="fr-FR"/>
        </w:rPr>
        <w:t xml:space="preserve">port cesse d’être significatif </w:t>
      </w:r>
      <w:r w:rsidR="0040096C" w:rsidRPr="00E43D38">
        <w:rPr>
          <w:rFonts w:asciiTheme="majorHAnsi" w:hAnsiTheme="majorHAnsi"/>
          <w:lang w:val="fr-FR"/>
        </w:rPr>
        <w:t>que ce</w:t>
      </w:r>
      <w:r w:rsidR="0040096C" w:rsidRPr="0040096C">
        <w:rPr>
          <w:rFonts w:asciiTheme="majorHAnsi" w:hAnsiTheme="majorHAnsi"/>
          <w:lang w:val="fr-FR"/>
        </w:rPr>
        <w:t xml:space="preserve"> soit entre ceux qui changent de </w:t>
      </w:r>
      <w:r w:rsidR="0082062E" w:rsidRPr="00E43D38">
        <w:rPr>
          <w:rFonts w:asciiTheme="majorHAnsi" w:hAnsiTheme="majorHAnsi"/>
          <w:lang w:val="fr-FR"/>
        </w:rPr>
        <w:t>municipalité</w:t>
      </w:r>
      <w:r w:rsidR="0082062E" w:rsidRPr="0082062E">
        <w:rPr>
          <w:rFonts w:asciiTheme="majorHAnsi" w:hAnsiTheme="majorHAnsi"/>
          <w:color w:val="FF0000"/>
          <w:lang w:val="fr-FR"/>
        </w:rPr>
        <w:t xml:space="preserve"> </w:t>
      </w:r>
      <w:r w:rsidR="0040096C" w:rsidRPr="0040096C">
        <w:rPr>
          <w:rFonts w:asciiTheme="majorHAnsi" w:hAnsiTheme="majorHAnsi"/>
          <w:lang w:val="fr-FR"/>
        </w:rPr>
        <w:t xml:space="preserve">de résidence </w:t>
      </w:r>
      <w:r w:rsidR="00A77AB5" w:rsidRPr="0040096C">
        <w:rPr>
          <w:rFonts w:asciiTheme="majorHAnsi" w:hAnsiTheme="majorHAnsi"/>
          <w:lang w:val="fr-FR"/>
        </w:rPr>
        <w:t>(</w:t>
      </w:r>
      <w:r w:rsidR="00A77AB5" w:rsidRPr="0040096C">
        <w:rPr>
          <w:rFonts w:ascii="Calibri" w:eastAsia="Times New Roman" w:hAnsi="Calibri" w:cs="Times New Roman"/>
          <w:color w:val="000000"/>
          <w:lang w:val="fr-FR"/>
        </w:rPr>
        <w:t>Pearson=-0, 044</w:t>
      </w:r>
      <w:r w:rsidR="004F68F5">
        <w:rPr>
          <w:rFonts w:asciiTheme="majorHAnsi" w:hAnsiTheme="majorHAnsi"/>
          <w:lang w:val="fr-FR"/>
        </w:rPr>
        <w:t>, valeu</w:t>
      </w:r>
      <w:r w:rsidR="00A77AB5" w:rsidRPr="0040096C">
        <w:rPr>
          <w:rFonts w:asciiTheme="majorHAnsi" w:hAnsiTheme="majorHAnsi"/>
          <w:lang w:val="fr-FR"/>
        </w:rPr>
        <w:t>r p =0,846</w:t>
      </w:r>
      <w:r w:rsidR="00A77AB5" w:rsidRPr="0040096C">
        <w:rPr>
          <w:rFonts w:ascii="Calibri" w:eastAsia="Times New Roman" w:hAnsi="Calibri" w:cs="Times New Roman"/>
          <w:color w:val="000000"/>
          <w:lang w:val="fr-FR"/>
        </w:rPr>
        <w:t>)</w:t>
      </w:r>
      <w:r w:rsidR="00A77AB5" w:rsidRPr="0040096C">
        <w:rPr>
          <w:rFonts w:asciiTheme="majorHAnsi" w:hAnsiTheme="majorHAnsi"/>
          <w:lang w:val="fr-FR"/>
        </w:rPr>
        <w:t xml:space="preserve">, </w:t>
      </w:r>
      <w:r w:rsidR="004F68F5">
        <w:rPr>
          <w:rFonts w:asciiTheme="majorHAnsi" w:hAnsiTheme="majorHAnsi"/>
          <w:lang w:val="fr-FR"/>
        </w:rPr>
        <w:t>ou</w:t>
      </w:r>
      <w:r w:rsidR="00A77AB5" w:rsidRPr="0040096C">
        <w:rPr>
          <w:rFonts w:asciiTheme="majorHAnsi" w:hAnsiTheme="majorHAnsi"/>
          <w:lang w:val="fr-FR"/>
        </w:rPr>
        <w:t xml:space="preserve"> entre </w:t>
      </w:r>
      <w:r w:rsidR="004F68F5">
        <w:rPr>
          <w:rFonts w:asciiTheme="majorHAnsi" w:hAnsiTheme="majorHAnsi"/>
          <w:lang w:val="fr-FR"/>
        </w:rPr>
        <w:t>les résident</w:t>
      </w:r>
      <w:r w:rsidR="004F68F5" w:rsidRPr="0040096C">
        <w:rPr>
          <w:rFonts w:asciiTheme="majorHAnsi" w:hAnsiTheme="majorHAnsi"/>
          <w:lang w:val="fr-FR"/>
        </w:rPr>
        <w:t>s</w:t>
      </w:r>
      <w:r w:rsidR="00A77AB5" w:rsidRPr="0040096C">
        <w:rPr>
          <w:rFonts w:asciiTheme="majorHAnsi" w:hAnsiTheme="majorHAnsi"/>
          <w:lang w:val="fr-FR"/>
        </w:rPr>
        <w:t xml:space="preserve"> </w:t>
      </w:r>
      <w:r w:rsidR="004F68F5">
        <w:rPr>
          <w:rFonts w:asciiTheme="majorHAnsi" w:hAnsiTheme="majorHAnsi"/>
          <w:lang w:val="fr-FR"/>
        </w:rPr>
        <w:t>venus</w:t>
      </w:r>
      <w:r w:rsidR="00A77AB5" w:rsidRPr="0040096C">
        <w:rPr>
          <w:rFonts w:asciiTheme="majorHAnsi" w:hAnsiTheme="majorHAnsi"/>
          <w:lang w:val="fr-FR"/>
        </w:rPr>
        <w:t xml:space="preserve"> d</w:t>
      </w:r>
      <w:r w:rsidR="004F68F5">
        <w:rPr>
          <w:rFonts w:asciiTheme="majorHAnsi" w:hAnsiTheme="majorHAnsi"/>
          <w:lang w:val="fr-FR"/>
        </w:rPr>
        <w:t>e l’étranger</w:t>
      </w:r>
      <w:r w:rsidR="00A77AB5" w:rsidRPr="0040096C">
        <w:rPr>
          <w:rFonts w:asciiTheme="majorHAnsi" w:hAnsiTheme="majorHAnsi"/>
          <w:lang w:val="fr-FR"/>
        </w:rPr>
        <w:t xml:space="preserve"> (</w:t>
      </w:r>
      <w:r w:rsidR="00A77AB5" w:rsidRPr="0040096C">
        <w:rPr>
          <w:rFonts w:ascii="Calibri" w:eastAsia="Times New Roman" w:hAnsi="Calibri" w:cs="Times New Roman"/>
          <w:color w:val="000000"/>
          <w:lang w:val="fr-FR"/>
        </w:rPr>
        <w:t>Pearson= -0, 126</w:t>
      </w:r>
      <w:r w:rsidR="004F68F5">
        <w:rPr>
          <w:rFonts w:asciiTheme="majorHAnsi" w:hAnsiTheme="majorHAnsi"/>
          <w:lang w:val="fr-FR"/>
        </w:rPr>
        <w:t>, valeu</w:t>
      </w:r>
      <w:r w:rsidR="00A77AB5" w:rsidRPr="0040096C">
        <w:rPr>
          <w:rFonts w:asciiTheme="majorHAnsi" w:hAnsiTheme="majorHAnsi"/>
          <w:lang w:val="fr-FR"/>
        </w:rPr>
        <w:t>r p =0,578</w:t>
      </w:r>
      <w:r w:rsidR="00A77AB5" w:rsidRPr="0040096C">
        <w:rPr>
          <w:rFonts w:ascii="Calibri" w:eastAsia="Times New Roman" w:hAnsi="Calibri" w:cs="Times New Roman"/>
          <w:color w:val="000000"/>
          <w:lang w:val="fr-FR"/>
        </w:rPr>
        <w:t>)</w:t>
      </w:r>
      <w:r w:rsidR="004F68F5">
        <w:rPr>
          <w:rFonts w:asciiTheme="majorHAnsi" w:hAnsiTheme="majorHAnsi"/>
          <w:lang w:val="fr-FR"/>
        </w:rPr>
        <w:t>.</w:t>
      </w:r>
    </w:p>
    <w:p w14:paraId="56C805D4" w14:textId="77777777" w:rsidR="00A77AB5" w:rsidRPr="00B600FA" w:rsidRDefault="004F68F5" w:rsidP="00A77AB5">
      <w:pPr>
        <w:jc w:val="both"/>
        <w:rPr>
          <w:rFonts w:asciiTheme="majorHAnsi" w:hAnsiTheme="majorHAnsi"/>
          <w:lang w:val="fr-FR"/>
        </w:rPr>
      </w:pPr>
      <w:r w:rsidRPr="004F68F5">
        <w:rPr>
          <w:rFonts w:asciiTheme="majorHAnsi" w:hAnsiTheme="majorHAnsi"/>
          <w:lang w:val="fr-FR"/>
        </w:rPr>
        <w:t>Quant</w:t>
      </w:r>
      <w:r w:rsidR="00A77AB5" w:rsidRPr="004F68F5">
        <w:rPr>
          <w:rFonts w:asciiTheme="majorHAnsi" w:hAnsiTheme="majorHAnsi"/>
          <w:lang w:val="fr-FR"/>
        </w:rPr>
        <w:t xml:space="preserve"> à </w:t>
      </w:r>
      <w:r w:rsidRPr="004F68F5">
        <w:rPr>
          <w:rFonts w:asciiTheme="majorHAnsi" w:hAnsiTheme="majorHAnsi"/>
          <w:lang w:val="fr-FR"/>
        </w:rPr>
        <w:t>l’âge des personnes</w:t>
      </w:r>
      <w:r w:rsidR="00A77AB5" w:rsidRPr="004F68F5">
        <w:rPr>
          <w:rFonts w:asciiTheme="majorHAnsi" w:hAnsiTheme="majorHAnsi"/>
          <w:lang w:val="fr-FR"/>
        </w:rPr>
        <w:t xml:space="preserve"> </w:t>
      </w:r>
      <w:r w:rsidR="00B87FF5" w:rsidRPr="004F68F5">
        <w:rPr>
          <w:rFonts w:asciiTheme="majorHAnsi" w:hAnsiTheme="majorHAnsi"/>
          <w:lang w:val="fr-FR"/>
        </w:rPr>
        <w:t>intégrant</w:t>
      </w:r>
      <w:r w:rsidR="00A77AB5" w:rsidRPr="004F68F5">
        <w:rPr>
          <w:rFonts w:asciiTheme="majorHAnsi" w:hAnsiTheme="majorHAnsi"/>
          <w:lang w:val="fr-FR"/>
        </w:rPr>
        <w:t xml:space="preserve"> </w:t>
      </w:r>
      <w:r w:rsidRPr="004F68F5">
        <w:rPr>
          <w:rFonts w:asciiTheme="majorHAnsi" w:hAnsiTheme="majorHAnsi"/>
          <w:lang w:val="fr-FR"/>
        </w:rPr>
        <w:t>le</w:t>
      </w:r>
      <w:r w:rsidR="00A77AB5" w:rsidRPr="004F68F5">
        <w:rPr>
          <w:rFonts w:asciiTheme="majorHAnsi" w:hAnsiTheme="majorHAnsi"/>
          <w:lang w:val="fr-FR"/>
        </w:rPr>
        <w:t>s fam</w:t>
      </w:r>
      <w:r w:rsidRPr="004F68F5">
        <w:rPr>
          <w:rFonts w:asciiTheme="majorHAnsi" w:hAnsiTheme="majorHAnsi"/>
          <w:lang w:val="fr-FR"/>
        </w:rPr>
        <w:t>illes</w:t>
      </w:r>
      <w:r w:rsidR="00A77AB5" w:rsidRPr="004F68F5">
        <w:rPr>
          <w:rFonts w:asciiTheme="majorHAnsi" w:hAnsiTheme="majorHAnsi"/>
          <w:lang w:val="fr-FR"/>
        </w:rPr>
        <w:t xml:space="preserve"> </w:t>
      </w:r>
      <w:r w:rsidR="00B87FF5" w:rsidRPr="004F68F5">
        <w:rPr>
          <w:rFonts w:asciiTheme="majorHAnsi" w:hAnsiTheme="majorHAnsi"/>
          <w:lang w:val="fr-FR"/>
        </w:rPr>
        <w:t>classiques</w:t>
      </w:r>
      <w:r w:rsidR="00A77AB5" w:rsidRPr="004F68F5">
        <w:rPr>
          <w:rFonts w:asciiTheme="majorHAnsi" w:hAnsiTheme="majorHAnsi"/>
          <w:lang w:val="fr-FR"/>
        </w:rPr>
        <w:t xml:space="preserve">, </w:t>
      </w:r>
      <w:r w:rsidRPr="004F68F5">
        <w:rPr>
          <w:rFonts w:asciiTheme="majorHAnsi" w:hAnsiTheme="majorHAnsi"/>
          <w:lang w:val="fr-FR"/>
        </w:rPr>
        <w:t>parmi le</w:t>
      </w:r>
      <w:r w:rsidR="00A77AB5" w:rsidRPr="004F68F5">
        <w:rPr>
          <w:rFonts w:asciiTheme="majorHAnsi" w:hAnsiTheme="majorHAnsi"/>
          <w:lang w:val="fr-FR"/>
        </w:rPr>
        <w:t>s 308 co</w:t>
      </w:r>
      <w:r w:rsidRPr="004F68F5">
        <w:rPr>
          <w:rFonts w:asciiTheme="majorHAnsi" w:hAnsiTheme="majorHAnsi"/>
          <w:lang w:val="fr-FR"/>
        </w:rPr>
        <w:t>mmune</w:t>
      </w:r>
      <w:r w:rsidR="00A77AB5" w:rsidRPr="004F68F5">
        <w:rPr>
          <w:rFonts w:asciiTheme="majorHAnsi" w:hAnsiTheme="majorHAnsi"/>
          <w:lang w:val="fr-FR"/>
        </w:rPr>
        <w:t xml:space="preserve">s, </w:t>
      </w:r>
      <w:r w:rsidRPr="004F68F5">
        <w:rPr>
          <w:rFonts w:asciiTheme="majorHAnsi" w:hAnsiTheme="majorHAnsi"/>
          <w:lang w:val="fr-FR"/>
        </w:rPr>
        <w:t xml:space="preserve">on note que la présence accrue des plus jeunes et des personnes </w:t>
      </w:r>
      <w:r>
        <w:rPr>
          <w:rFonts w:asciiTheme="majorHAnsi" w:hAnsiTheme="majorHAnsi"/>
          <w:lang w:val="fr-FR"/>
        </w:rPr>
        <w:t xml:space="preserve">à l’âge actif entraine une augmentation du nombre de familles </w:t>
      </w:r>
      <w:r w:rsidR="00A77AB5" w:rsidRPr="004F68F5">
        <w:rPr>
          <w:rFonts w:asciiTheme="majorHAnsi" w:hAnsiTheme="majorHAnsi"/>
          <w:lang w:val="fr-FR"/>
        </w:rPr>
        <w:t>(</w:t>
      </w:r>
      <w:r w:rsidR="00A77AB5" w:rsidRPr="004F68F5">
        <w:rPr>
          <w:rFonts w:ascii="Calibri" w:eastAsia="Times New Roman" w:hAnsi="Calibri" w:cs="Times New Roman"/>
          <w:color w:val="000000"/>
          <w:lang w:val="fr-FR"/>
        </w:rPr>
        <w:t>Pearson= 0, 730</w:t>
      </w:r>
      <w:r w:rsidR="00A77AB5" w:rsidRPr="004F68F5">
        <w:rPr>
          <w:rFonts w:asciiTheme="majorHAnsi" w:hAnsiTheme="majorHAnsi"/>
          <w:lang w:val="fr-FR"/>
        </w:rPr>
        <w:t>, val</w:t>
      </w:r>
      <w:r>
        <w:rPr>
          <w:rFonts w:asciiTheme="majorHAnsi" w:hAnsiTheme="majorHAnsi"/>
          <w:lang w:val="fr-FR"/>
        </w:rPr>
        <w:t>eu</w:t>
      </w:r>
      <w:r w:rsidR="00A77AB5" w:rsidRPr="004F68F5">
        <w:rPr>
          <w:rFonts w:asciiTheme="majorHAnsi" w:hAnsiTheme="majorHAnsi"/>
          <w:lang w:val="fr-FR"/>
        </w:rPr>
        <w:t>r p =0,000</w:t>
      </w:r>
      <w:r w:rsidR="00A77AB5" w:rsidRPr="004F68F5">
        <w:rPr>
          <w:rFonts w:ascii="Calibri" w:eastAsia="Times New Roman" w:hAnsi="Calibri" w:cs="Times New Roman"/>
          <w:color w:val="000000"/>
          <w:lang w:val="fr-FR"/>
        </w:rPr>
        <w:t>)</w:t>
      </w:r>
      <w:r w:rsidR="00A77AB5" w:rsidRPr="004F68F5">
        <w:rPr>
          <w:rFonts w:asciiTheme="majorHAnsi" w:hAnsiTheme="majorHAnsi"/>
          <w:lang w:val="fr-FR"/>
        </w:rPr>
        <w:t>,</w:t>
      </w:r>
      <w:r w:rsidR="003B38CE">
        <w:rPr>
          <w:rFonts w:asciiTheme="majorHAnsi" w:hAnsiTheme="majorHAnsi"/>
          <w:lang w:val="fr-FR"/>
        </w:rPr>
        <w:t xml:space="preserve"> </w:t>
      </w:r>
      <w:r w:rsidR="00A77AB5" w:rsidRPr="004F68F5">
        <w:rPr>
          <w:rFonts w:asciiTheme="majorHAnsi" w:hAnsiTheme="majorHAnsi"/>
          <w:lang w:val="fr-FR"/>
        </w:rPr>
        <w:t>(</w:t>
      </w:r>
      <w:r w:rsidR="00A77AB5" w:rsidRPr="004F68F5">
        <w:rPr>
          <w:rFonts w:ascii="Calibri" w:eastAsia="Times New Roman" w:hAnsi="Calibri" w:cs="Times New Roman"/>
          <w:color w:val="000000"/>
          <w:lang w:val="fr-FR"/>
        </w:rPr>
        <w:t>Pearson= 0, 716</w:t>
      </w:r>
      <w:r w:rsidR="00A77AB5" w:rsidRPr="004F68F5">
        <w:rPr>
          <w:rFonts w:asciiTheme="majorHAnsi" w:hAnsiTheme="majorHAnsi"/>
          <w:lang w:val="fr-FR"/>
        </w:rPr>
        <w:t>,</w:t>
      </w:r>
      <w:r>
        <w:rPr>
          <w:rFonts w:asciiTheme="majorHAnsi" w:hAnsiTheme="majorHAnsi"/>
          <w:lang w:val="fr-FR"/>
        </w:rPr>
        <w:t xml:space="preserve"> valeu</w:t>
      </w:r>
      <w:r w:rsidR="00A77AB5" w:rsidRPr="004F68F5">
        <w:rPr>
          <w:rFonts w:asciiTheme="majorHAnsi" w:hAnsiTheme="majorHAnsi"/>
          <w:lang w:val="fr-FR"/>
        </w:rPr>
        <w:t>r p =0,000 respe</w:t>
      </w:r>
      <w:r>
        <w:rPr>
          <w:rFonts w:asciiTheme="majorHAnsi" w:hAnsiTheme="majorHAnsi"/>
          <w:lang w:val="fr-FR"/>
        </w:rPr>
        <w:t>c</w:t>
      </w:r>
      <w:r w:rsidR="00A77AB5" w:rsidRPr="004F68F5">
        <w:rPr>
          <w:rFonts w:asciiTheme="majorHAnsi" w:hAnsiTheme="majorHAnsi"/>
          <w:lang w:val="fr-FR"/>
        </w:rPr>
        <w:t>tiv</w:t>
      </w:r>
      <w:r>
        <w:rPr>
          <w:rFonts w:asciiTheme="majorHAnsi" w:hAnsiTheme="majorHAnsi"/>
          <w:lang w:val="fr-FR"/>
        </w:rPr>
        <w:t>e</w:t>
      </w:r>
      <w:r w:rsidR="00A77AB5" w:rsidRPr="004F68F5">
        <w:rPr>
          <w:rFonts w:asciiTheme="majorHAnsi" w:hAnsiTheme="majorHAnsi"/>
          <w:lang w:val="fr-FR"/>
        </w:rPr>
        <w:t>ment</w:t>
      </w:r>
      <w:r w:rsidR="00E43D38" w:rsidRPr="0040096C">
        <w:rPr>
          <w:rFonts w:ascii="Calibri" w:eastAsia="Times New Roman" w:hAnsi="Calibri" w:cs="Times New Roman"/>
          <w:color w:val="000000"/>
          <w:lang w:val="fr-FR"/>
        </w:rPr>
        <w:t>)</w:t>
      </w:r>
      <w:r w:rsidR="00A77AB5" w:rsidRPr="004F68F5">
        <w:rPr>
          <w:rFonts w:asciiTheme="majorHAnsi" w:hAnsiTheme="majorHAnsi"/>
          <w:lang w:val="fr-FR"/>
        </w:rPr>
        <w:t xml:space="preserve">. </w:t>
      </w:r>
      <w:r w:rsidRPr="00B600FA">
        <w:rPr>
          <w:rFonts w:asciiTheme="majorHAnsi" w:hAnsiTheme="majorHAnsi"/>
          <w:lang w:val="fr-FR"/>
        </w:rPr>
        <w:t>La présence de personnes âgées de 65 ans et plu</w:t>
      </w:r>
      <w:r w:rsidR="00B600FA" w:rsidRPr="00B600FA">
        <w:rPr>
          <w:rFonts w:asciiTheme="majorHAnsi" w:hAnsiTheme="majorHAnsi"/>
          <w:lang w:val="fr-FR"/>
        </w:rPr>
        <w:t>s a un effet contraire quant à la variation du nombre de familles</w:t>
      </w:r>
      <w:r w:rsidR="00A77AB5" w:rsidRPr="00B600FA">
        <w:rPr>
          <w:rFonts w:asciiTheme="majorHAnsi" w:hAnsiTheme="majorHAnsi"/>
          <w:lang w:val="fr-FR"/>
        </w:rPr>
        <w:t xml:space="preserve"> (</w:t>
      </w:r>
      <w:r w:rsidR="00A77AB5" w:rsidRPr="00B600FA">
        <w:rPr>
          <w:rFonts w:ascii="Calibri" w:eastAsia="Times New Roman" w:hAnsi="Calibri" w:cs="Times New Roman"/>
          <w:color w:val="000000"/>
          <w:lang w:val="fr-FR"/>
        </w:rPr>
        <w:t>Pearson</w:t>
      </w:r>
      <w:r w:rsidR="0082062E">
        <w:rPr>
          <w:rFonts w:ascii="Calibri" w:eastAsia="Times New Roman" w:hAnsi="Calibri" w:cs="Times New Roman"/>
          <w:color w:val="000000"/>
          <w:lang w:val="fr-FR"/>
        </w:rPr>
        <w:t xml:space="preserve"> </w:t>
      </w:r>
      <w:r w:rsidR="00A77AB5" w:rsidRPr="00B600FA">
        <w:rPr>
          <w:rFonts w:ascii="Calibri" w:eastAsia="Times New Roman" w:hAnsi="Calibri" w:cs="Times New Roman"/>
          <w:color w:val="000000"/>
          <w:lang w:val="fr-FR"/>
        </w:rPr>
        <w:t>= -0,756</w:t>
      </w:r>
      <w:r w:rsidR="003B38CE">
        <w:rPr>
          <w:rFonts w:asciiTheme="majorHAnsi" w:hAnsiTheme="majorHAnsi"/>
          <w:lang w:val="fr-FR"/>
        </w:rPr>
        <w:t>, valeu</w:t>
      </w:r>
      <w:r w:rsidR="00A77AB5" w:rsidRPr="00B600FA">
        <w:rPr>
          <w:rFonts w:asciiTheme="majorHAnsi" w:hAnsiTheme="majorHAnsi"/>
          <w:lang w:val="fr-FR"/>
        </w:rPr>
        <w:t>r p =0,000</w:t>
      </w:r>
      <w:r w:rsidR="00A77AB5" w:rsidRPr="00B600FA">
        <w:rPr>
          <w:rFonts w:ascii="Calibri" w:eastAsia="Times New Roman" w:hAnsi="Calibri" w:cs="Times New Roman"/>
          <w:color w:val="000000"/>
          <w:lang w:val="fr-FR"/>
        </w:rPr>
        <w:t>)</w:t>
      </w:r>
      <w:r w:rsidR="00A77AB5" w:rsidRPr="00B600FA">
        <w:rPr>
          <w:rFonts w:asciiTheme="majorHAnsi" w:hAnsiTheme="majorHAnsi"/>
          <w:lang w:val="fr-FR"/>
        </w:rPr>
        <w:t xml:space="preserve">. </w:t>
      </w:r>
    </w:p>
    <w:p w14:paraId="529476E6" w14:textId="77777777" w:rsidR="00AA7A17" w:rsidRDefault="00F141C9" w:rsidP="00A77AB5">
      <w:pPr>
        <w:jc w:val="both"/>
        <w:rPr>
          <w:rFonts w:asciiTheme="majorHAnsi" w:hAnsiTheme="majorHAnsi"/>
          <w:lang w:val="fr-FR"/>
        </w:rPr>
      </w:pPr>
      <w:r w:rsidRPr="00AA7A17">
        <w:rPr>
          <w:rFonts w:asciiTheme="majorHAnsi" w:hAnsiTheme="majorHAnsi"/>
          <w:lang w:val="fr-FR"/>
        </w:rPr>
        <w:t>En</w:t>
      </w:r>
      <w:r w:rsidR="0082062E" w:rsidRPr="00AA7A17">
        <w:rPr>
          <w:rFonts w:asciiTheme="majorHAnsi" w:hAnsiTheme="majorHAnsi"/>
          <w:lang w:val="fr-FR"/>
        </w:rPr>
        <w:t xml:space="preserve"> ôtant</w:t>
      </w:r>
      <w:r w:rsidR="00A77AB5" w:rsidRPr="00AA7A17">
        <w:rPr>
          <w:rFonts w:asciiTheme="majorHAnsi" w:hAnsiTheme="majorHAnsi"/>
          <w:lang w:val="fr-FR"/>
        </w:rPr>
        <w:t xml:space="preserve"> </w:t>
      </w:r>
      <w:r w:rsidR="00B600FA" w:rsidRPr="00AA7A17">
        <w:rPr>
          <w:rFonts w:asciiTheme="majorHAnsi" w:hAnsiTheme="majorHAnsi"/>
          <w:lang w:val="fr-FR"/>
        </w:rPr>
        <w:t>le</w:t>
      </w:r>
      <w:r w:rsidR="003B38CE" w:rsidRPr="00AA7A17">
        <w:rPr>
          <w:rFonts w:asciiTheme="majorHAnsi" w:hAnsiTheme="majorHAnsi"/>
          <w:lang w:val="fr-FR"/>
        </w:rPr>
        <w:t>s 4 municipalités</w:t>
      </w:r>
      <w:r w:rsidR="00A77AB5" w:rsidRPr="00AA7A17">
        <w:rPr>
          <w:rFonts w:asciiTheme="majorHAnsi" w:hAnsiTheme="majorHAnsi"/>
          <w:lang w:val="fr-FR"/>
        </w:rPr>
        <w:t xml:space="preserve"> </w:t>
      </w:r>
      <w:r w:rsidR="00B600FA" w:rsidRPr="00AA7A17">
        <w:rPr>
          <w:rFonts w:asciiTheme="majorHAnsi" w:hAnsiTheme="majorHAnsi"/>
          <w:lang w:val="fr-FR"/>
        </w:rPr>
        <w:t xml:space="preserve">ayant le plus </w:t>
      </w:r>
      <w:r w:rsidR="0082062E" w:rsidRPr="00AA7A17">
        <w:rPr>
          <w:rFonts w:asciiTheme="majorHAnsi" w:hAnsiTheme="majorHAnsi"/>
          <w:lang w:val="fr-FR"/>
        </w:rPr>
        <w:t xml:space="preserve">grand </w:t>
      </w:r>
      <w:r w:rsidR="00B600FA" w:rsidRPr="00AA7A17">
        <w:rPr>
          <w:rFonts w:asciiTheme="majorHAnsi" w:hAnsiTheme="majorHAnsi"/>
          <w:lang w:val="fr-FR"/>
        </w:rPr>
        <w:t>volume de population</w:t>
      </w:r>
      <w:r w:rsidR="00C43AB1" w:rsidRPr="00AA7A17">
        <w:rPr>
          <w:rFonts w:asciiTheme="majorHAnsi" w:hAnsiTheme="majorHAnsi"/>
          <w:lang w:val="fr-FR"/>
        </w:rPr>
        <w:t xml:space="preserve"> </w:t>
      </w:r>
      <w:r w:rsidR="00AA7A17" w:rsidRPr="00AA7A17">
        <w:rPr>
          <w:rFonts w:asciiTheme="majorHAnsi" w:hAnsiTheme="majorHAnsi"/>
          <w:lang w:val="fr-FR"/>
        </w:rPr>
        <w:t>et de familles</w:t>
      </w:r>
      <w:r w:rsidR="00B600FA" w:rsidRPr="00AA7A17">
        <w:rPr>
          <w:rFonts w:asciiTheme="majorHAnsi" w:hAnsiTheme="majorHAnsi"/>
          <w:lang w:val="fr-FR"/>
        </w:rPr>
        <w:t xml:space="preserve">, on </w:t>
      </w:r>
      <w:r w:rsidR="00A77AB5" w:rsidRPr="00AA7A17">
        <w:rPr>
          <w:rFonts w:asciiTheme="majorHAnsi" w:hAnsiTheme="majorHAnsi"/>
          <w:lang w:val="fr-FR"/>
        </w:rPr>
        <w:t>note u</w:t>
      </w:r>
      <w:r w:rsidR="003B38CE" w:rsidRPr="00AA7A17">
        <w:rPr>
          <w:rFonts w:asciiTheme="majorHAnsi" w:hAnsiTheme="majorHAnsi"/>
          <w:lang w:val="fr-FR"/>
        </w:rPr>
        <w:t>ne association positive relativement forte</w:t>
      </w:r>
      <w:r w:rsidR="00A77AB5" w:rsidRPr="00AA7A17">
        <w:rPr>
          <w:rFonts w:asciiTheme="majorHAnsi" w:hAnsiTheme="majorHAnsi"/>
          <w:lang w:val="fr-FR"/>
        </w:rPr>
        <w:t xml:space="preserve"> ent</w:t>
      </w:r>
      <w:r w:rsidR="00B600FA" w:rsidRPr="00AA7A17">
        <w:rPr>
          <w:rFonts w:asciiTheme="majorHAnsi" w:hAnsiTheme="majorHAnsi"/>
          <w:lang w:val="fr-FR"/>
        </w:rPr>
        <w:t xml:space="preserve">re le </w:t>
      </w:r>
      <w:r w:rsidR="003B38CE" w:rsidRPr="00AA7A17">
        <w:rPr>
          <w:rFonts w:asciiTheme="majorHAnsi" w:hAnsiTheme="majorHAnsi"/>
          <w:lang w:val="fr-FR"/>
        </w:rPr>
        <w:t xml:space="preserve">taux des </w:t>
      </w:r>
      <w:r w:rsidR="00C163E2" w:rsidRPr="00AA7A17">
        <w:rPr>
          <w:rFonts w:asciiTheme="majorHAnsi" w:hAnsiTheme="majorHAnsi"/>
          <w:lang w:val="fr-FR"/>
        </w:rPr>
        <w:t xml:space="preserve">familles ayant </w:t>
      </w:r>
      <w:r w:rsidR="00B600FA" w:rsidRPr="00AA7A17">
        <w:rPr>
          <w:rFonts w:asciiTheme="majorHAnsi" w:hAnsiTheme="majorHAnsi"/>
          <w:lang w:val="fr-FR"/>
        </w:rPr>
        <w:t>des jeunes</w:t>
      </w:r>
      <w:r w:rsidR="00A77AB5" w:rsidRPr="00AA7A17">
        <w:rPr>
          <w:rFonts w:asciiTheme="majorHAnsi" w:hAnsiTheme="majorHAnsi"/>
          <w:lang w:val="fr-FR"/>
        </w:rPr>
        <w:t xml:space="preserve"> e</w:t>
      </w:r>
      <w:r w:rsidR="00B600FA" w:rsidRPr="00AA7A17">
        <w:rPr>
          <w:rFonts w:asciiTheme="majorHAnsi" w:hAnsiTheme="majorHAnsi"/>
          <w:lang w:val="fr-FR"/>
        </w:rPr>
        <w:t>t le</w:t>
      </w:r>
      <w:r w:rsidR="00A77AB5" w:rsidRPr="00AA7A17">
        <w:rPr>
          <w:rFonts w:asciiTheme="majorHAnsi" w:hAnsiTheme="majorHAnsi"/>
          <w:lang w:val="fr-FR"/>
        </w:rPr>
        <w:t xml:space="preserve"> ta</w:t>
      </w:r>
      <w:r w:rsidR="00B600FA" w:rsidRPr="00AA7A17">
        <w:rPr>
          <w:rFonts w:asciiTheme="majorHAnsi" w:hAnsiTheme="majorHAnsi"/>
          <w:lang w:val="fr-FR"/>
        </w:rPr>
        <w:t>u</w:t>
      </w:r>
      <w:r w:rsidR="00A77AB5" w:rsidRPr="00AA7A17">
        <w:rPr>
          <w:rFonts w:asciiTheme="majorHAnsi" w:hAnsiTheme="majorHAnsi"/>
          <w:lang w:val="fr-FR"/>
        </w:rPr>
        <w:t>x de varia</w:t>
      </w:r>
      <w:r w:rsidR="00B600FA" w:rsidRPr="00AA7A17">
        <w:rPr>
          <w:rFonts w:asciiTheme="majorHAnsi" w:hAnsiTheme="majorHAnsi"/>
          <w:lang w:val="fr-FR"/>
        </w:rPr>
        <w:t>tion</w:t>
      </w:r>
      <w:r w:rsidR="00A77AB5" w:rsidRPr="00B600FA">
        <w:rPr>
          <w:rFonts w:asciiTheme="majorHAnsi" w:hAnsiTheme="majorHAnsi"/>
          <w:lang w:val="fr-FR"/>
        </w:rPr>
        <w:t xml:space="preserve"> d</w:t>
      </w:r>
      <w:r w:rsidR="00B600FA">
        <w:rPr>
          <w:rFonts w:asciiTheme="majorHAnsi" w:hAnsiTheme="majorHAnsi"/>
          <w:lang w:val="fr-FR"/>
        </w:rPr>
        <w:t>u</w:t>
      </w:r>
      <w:r w:rsidR="00A77AB5" w:rsidRPr="00B600FA">
        <w:rPr>
          <w:rFonts w:asciiTheme="majorHAnsi" w:hAnsiTheme="majorHAnsi"/>
          <w:lang w:val="fr-FR"/>
        </w:rPr>
        <w:t xml:space="preserve"> n</w:t>
      </w:r>
      <w:r w:rsidR="00B600FA">
        <w:rPr>
          <w:rFonts w:asciiTheme="majorHAnsi" w:hAnsiTheme="majorHAnsi"/>
          <w:lang w:val="fr-FR"/>
        </w:rPr>
        <w:t>ombre</w:t>
      </w:r>
      <w:r w:rsidR="00A77AB5" w:rsidRPr="00B600FA">
        <w:rPr>
          <w:rFonts w:asciiTheme="majorHAnsi" w:hAnsiTheme="majorHAnsi"/>
          <w:lang w:val="fr-FR"/>
        </w:rPr>
        <w:t xml:space="preserve"> de fam</w:t>
      </w:r>
      <w:r w:rsidR="00B600FA">
        <w:rPr>
          <w:rFonts w:asciiTheme="majorHAnsi" w:hAnsiTheme="majorHAnsi"/>
          <w:lang w:val="fr-FR"/>
        </w:rPr>
        <w:t xml:space="preserve">illes </w:t>
      </w:r>
      <w:r w:rsidR="00A77AB5" w:rsidRPr="00B600FA">
        <w:rPr>
          <w:rFonts w:asciiTheme="majorHAnsi" w:hAnsiTheme="majorHAnsi"/>
          <w:lang w:val="fr-FR"/>
        </w:rPr>
        <w:t>(</w:t>
      </w:r>
      <w:r w:rsidR="00A77AB5" w:rsidRPr="00B600FA">
        <w:rPr>
          <w:rFonts w:ascii="Calibri" w:eastAsia="Times New Roman" w:hAnsi="Calibri" w:cs="Times New Roman"/>
          <w:color w:val="000000"/>
          <w:lang w:val="fr-FR"/>
        </w:rPr>
        <w:t>Pearson= 0, 731</w:t>
      </w:r>
      <w:r w:rsidR="00B600FA">
        <w:rPr>
          <w:rFonts w:asciiTheme="majorHAnsi" w:hAnsiTheme="majorHAnsi"/>
          <w:lang w:val="fr-FR"/>
        </w:rPr>
        <w:t>, valeu</w:t>
      </w:r>
      <w:r w:rsidR="00A77AB5" w:rsidRPr="00B600FA">
        <w:rPr>
          <w:rFonts w:asciiTheme="majorHAnsi" w:hAnsiTheme="majorHAnsi"/>
          <w:lang w:val="fr-FR"/>
        </w:rPr>
        <w:t>r p =0,000</w:t>
      </w:r>
      <w:r w:rsidR="00A77AB5" w:rsidRPr="00B600FA">
        <w:rPr>
          <w:rFonts w:ascii="Calibri" w:eastAsia="Times New Roman" w:hAnsi="Calibri" w:cs="Times New Roman"/>
          <w:color w:val="000000"/>
          <w:lang w:val="fr-FR"/>
        </w:rPr>
        <w:t>)</w:t>
      </w:r>
      <w:r w:rsidR="00A77AB5" w:rsidRPr="00B600FA">
        <w:rPr>
          <w:rFonts w:asciiTheme="majorHAnsi" w:hAnsiTheme="majorHAnsi"/>
          <w:lang w:val="fr-FR"/>
        </w:rPr>
        <w:t>. Varia</w:t>
      </w:r>
      <w:r w:rsidR="00B600FA" w:rsidRPr="00B600FA">
        <w:rPr>
          <w:rFonts w:asciiTheme="majorHAnsi" w:hAnsiTheme="majorHAnsi"/>
          <w:lang w:val="fr-FR"/>
        </w:rPr>
        <w:t>tion</w:t>
      </w:r>
      <w:r w:rsidR="00A77AB5" w:rsidRPr="00B600FA">
        <w:rPr>
          <w:rFonts w:asciiTheme="majorHAnsi" w:hAnsiTheme="majorHAnsi"/>
          <w:lang w:val="fr-FR"/>
        </w:rPr>
        <w:t xml:space="preserve"> </w:t>
      </w:r>
      <w:r w:rsidR="00B87FF5" w:rsidRPr="00B600FA">
        <w:rPr>
          <w:rFonts w:asciiTheme="majorHAnsi" w:hAnsiTheme="majorHAnsi"/>
          <w:lang w:val="fr-FR"/>
        </w:rPr>
        <w:t>légèrement</w:t>
      </w:r>
      <w:r w:rsidR="00C163E2">
        <w:rPr>
          <w:rFonts w:asciiTheme="majorHAnsi" w:hAnsiTheme="majorHAnsi"/>
          <w:lang w:val="fr-FR"/>
        </w:rPr>
        <w:t xml:space="preserve"> </w:t>
      </w:r>
      <w:r w:rsidR="00B87FF5" w:rsidRPr="00C163E2">
        <w:rPr>
          <w:rFonts w:asciiTheme="majorHAnsi" w:hAnsiTheme="majorHAnsi"/>
          <w:lang w:val="fr-FR"/>
        </w:rPr>
        <w:t>supérieur</w:t>
      </w:r>
      <w:r w:rsidR="00A77AB5" w:rsidRPr="00B600FA">
        <w:rPr>
          <w:rFonts w:asciiTheme="majorHAnsi" w:hAnsiTheme="majorHAnsi"/>
          <w:lang w:val="fr-FR"/>
        </w:rPr>
        <w:t xml:space="preserve"> à </w:t>
      </w:r>
      <w:r w:rsidR="00B600FA" w:rsidRPr="00B600FA">
        <w:rPr>
          <w:rFonts w:asciiTheme="majorHAnsi" w:hAnsiTheme="majorHAnsi"/>
          <w:lang w:val="fr-FR"/>
        </w:rPr>
        <w:t>celle constatée avec les</w:t>
      </w:r>
      <w:r w:rsidR="00A77AB5" w:rsidRPr="00B600FA">
        <w:rPr>
          <w:rFonts w:asciiTheme="majorHAnsi" w:hAnsiTheme="majorHAnsi"/>
          <w:lang w:val="fr-FR"/>
        </w:rPr>
        <w:t xml:space="preserve"> pe</w:t>
      </w:r>
      <w:r w:rsidR="00B600FA">
        <w:rPr>
          <w:rFonts w:asciiTheme="majorHAnsi" w:hAnsiTheme="majorHAnsi"/>
          <w:lang w:val="fr-FR"/>
        </w:rPr>
        <w:t>rsonnes à l’âge actif</w:t>
      </w:r>
      <w:r w:rsidR="00A77AB5" w:rsidRPr="00B600FA">
        <w:rPr>
          <w:rFonts w:asciiTheme="majorHAnsi" w:hAnsiTheme="majorHAnsi"/>
          <w:lang w:val="fr-FR"/>
        </w:rPr>
        <w:t xml:space="preserve"> (</w:t>
      </w:r>
      <w:r w:rsidR="00A77AB5" w:rsidRPr="00B600FA">
        <w:rPr>
          <w:rFonts w:ascii="Calibri" w:eastAsia="Times New Roman" w:hAnsi="Calibri" w:cs="Times New Roman"/>
          <w:color w:val="000000"/>
          <w:lang w:val="fr-FR"/>
        </w:rPr>
        <w:t>Pearson= 0, 717</w:t>
      </w:r>
      <w:r w:rsidR="00A77AB5" w:rsidRPr="00B600FA">
        <w:rPr>
          <w:rFonts w:asciiTheme="majorHAnsi" w:hAnsiTheme="majorHAnsi"/>
          <w:lang w:val="fr-FR"/>
        </w:rPr>
        <w:t>, val</w:t>
      </w:r>
      <w:r w:rsidR="00B600FA">
        <w:rPr>
          <w:rFonts w:asciiTheme="majorHAnsi" w:hAnsiTheme="majorHAnsi"/>
          <w:lang w:val="fr-FR"/>
        </w:rPr>
        <w:t>eu</w:t>
      </w:r>
      <w:r w:rsidR="00A77AB5" w:rsidRPr="00B600FA">
        <w:rPr>
          <w:rFonts w:asciiTheme="majorHAnsi" w:hAnsiTheme="majorHAnsi"/>
          <w:lang w:val="fr-FR"/>
        </w:rPr>
        <w:t>r p =0,000</w:t>
      </w:r>
      <w:r w:rsidR="00A77AB5" w:rsidRPr="00B600FA">
        <w:rPr>
          <w:rFonts w:ascii="Calibri" w:eastAsia="Times New Roman" w:hAnsi="Calibri" w:cs="Times New Roman"/>
          <w:color w:val="000000"/>
          <w:lang w:val="fr-FR"/>
        </w:rPr>
        <w:t>)</w:t>
      </w:r>
      <w:r w:rsidR="00A77AB5" w:rsidRPr="00AA7A17">
        <w:rPr>
          <w:rFonts w:asciiTheme="majorHAnsi" w:hAnsiTheme="majorHAnsi"/>
          <w:lang w:val="fr-FR"/>
        </w:rPr>
        <w:t>.</w:t>
      </w:r>
      <w:r w:rsidR="00C43AB1" w:rsidRPr="00AA7A17">
        <w:rPr>
          <w:rFonts w:asciiTheme="majorHAnsi" w:hAnsiTheme="majorHAnsi"/>
          <w:lang w:val="fr-FR"/>
        </w:rPr>
        <w:t xml:space="preserve"> </w:t>
      </w:r>
      <w:r w:rsidR="003B38CE" w:rsidRPr="00AA7A17">
        <w:rPr>
          <w:rFonts w:asciiTheme="majorHAnsi" w:hAnsiTheme="majorHAnsi"/>
          <w:lang w:val="fr-FR"/>
        </w:rPr>
        <w:t xml:space="preserve">En considérant le </w:t>
      </w:r>
      <w:r w:rsidR="005A6274" w:rsidRPr="00AA7A17">
        <w:rPr>
          <w:rFonts w:asciiTheme="majorHAnsi" w:hAnsiTheme="majorHAnsi"/>
          <w:lang w:val="fr-FR"/>
        </w:rPr>
        <w:t>pourcentage de personnes âgées de plus de 65 ans</w:t>
      </w:r>
      <w:r w:rsidR="00C163E2" w:rsidRPr="00AA7A17">
        <w:rPr>
          <w:rFonts w:asciiTheme="majorHAnsi" w:hAnsiTheme="majorHAnsi"/>
          <w:lang w:val="fr-FR"/>
        </w:rPr>
        <w:t>,</w:t>
      </w:r>
      <w:r w:rsidR="00A77AB5" w:rsidRPr="00AA7A17">
        <w:rPr>
          <w:rFonts w:asciiTheme="majorHAnsi" w:hAnsiTheme="majorHAnsi"/>
          <w:lang w:val="fr-FR"/>
        </w:rPr>
        <w:t xml:space="preserve"> </w:t>
      </w:r>
      <w:r w:rsidR="005A6274" w:rsidRPr="00AA7A17">
        <w:rPr>
          <w:rFonts w:asciiTheme="majorHAnsi" w:hAnsiTheme="majorHAnsi"/>
          <w:lang w:val="fr-FR"/>
        </w:rPr>
        <w:t>on constate un effet contraire</w:t>
      </w:r>
      <w:r w:rsidR="007621FB" w:rsidRPr="00AA7A17">
        <w:rPr>
          <w:rFonts w:asciiTheme="majorHAnsi" w:hAnsiTheme="majorHAnsi"/>
          <w:lang w:val="fr-FR"/>
        </w:rPr>
        <w:t xml:space="preserve"> dans l’association avec le</w:t>
      </w:r>
      <w:r w:rsidR="005A6274" w:rsidRPr="00AA7A17">
        <w:rPr>
          <w:rFonts w:asciiTheme="majorHAnsi" w:hAnsiTheme="majorHAnsi"/>
          <w:lang w:val="fr-FR"/>
        </w:rPr>
        <w:t xml:space="preserve"> taux de variation du nombre de familles</w:t>
      </w:r>
      <w:r w:rsidR="00A77AB5" w:rsidRPr="005A6274">
        <w:rPr>
          <w:rFonts w:asciiTheme="majorHAnsi" w:hAnsiTheme="majorHAnsi"/>
          <w:lang w:val="fr-FR"/>
        </w:rPr>
        <w:t xml:space="preserve"> (</w:t>
      </w:r>
      <w:r w:rsidR="00A77AB5" w:rsidRPr="005A6274">
        <w:rPr>
          <w:rFonts w:ascii="Calibri" w:eastAsia="Times New Roman" w:hAnsi="Calibri" w:cs="Times New Roman"/>
          <w:color w:val="000000"/>
          <w:lang w:val="fr-FR"/>
        </w:rPr>
        <w:t>Pearson</w:t>
      </w:r>
      <w:r w:rsidR="0082062E">
        <w:rPr>
          <w:rFonts w:ascii="Calibri" w:eastAsia="Times New Roman" w:hAnsi="Calibri" w:cs="Times New Roman"/>
          <w:color w:val="000000"/>
          <w:lang w:val="fr-FR"/>
        </w:rPr>
        <w:t xml:space="preserve"> </w:t>
      </w:r>
      <w:r w:rsidR="00A77AB5" w:rsidRPr="005A6274">
        <w:rPr>
          <w:rFonts w:ascii="Calibri" w:eastAsia="Times New Roman" w:hAnsi="Calibri" w:cs="Times New Roman"/>
          <w:color w:val="000000"/>
          <w:lang w:val="fr-FR"/>
        </w:rPr>
        <w:t>= -0,757</w:t>
      </w:r>
      <w:r w:rsidR="00244C48">
        <w:rPr>
          <w:rFonts w:asciiTheme="majorHAnsi" w:hAnsiTheme="majorHAnsi"/>
          <w:lang w:val="fr-FR"/>
        </w:rPr>
        <w:t>, valeur</w:t>
      </w:r>
      <w:r w:rsidR="00A77AB5" w:rsidRPr="005A6274">
        <w:rPr>
          <w:rFonts w:asciiTheme="majorHAnsi" w:hAnsiTheme="majorHAnsi"/>
          <w:lang w:val="fr-FR"/>
        </w:rPr>
        <w:t xml:space="preserve"> p =0,000</w:t>
      </w:r>
      <w:r w:rsidR="00A77AB5" w:rsidRPr="005A6274">
        <w:rPr>
          <w:rFonts w:ascii="Calibri" w:eastAsia="Times New Roman" w:hAnsi="Calibri" w:cs="Times New Roman"/>
          <w:color w:val="000000"/>
          <w:lang w:val="fr-FR"/>
        </w:rPr>
        <w:t>)</w:t>
      </w:r>
      <w:r w:rsidR="00A77AB5" w:rsidRPr="005A6274">
        <w:rPr>
          <w:rFonts w:asciiTheme="majorHAnsi" w:hAnsiTheme="majorHAnsi"/>
          <w:lang w:val="fr-FR"/>
        </w:rPr>
        <w:t xml:space="preserve">. </w:t>
      </w:r>
    </w:p>
    <w:p w14:paraId="24A22A13" w14:textId="77777777" w:rsidR="00A77AB5" w:rsidRPr="00AA7A17" w:rsidRDefault="005A6274" w:rsidP="00A77AB5">
      <w:pPr>
        <w:jc w:val="both"/>
        <w:rPr>
          <w:rFonts w:asciiTheme="majorHAnsi" w:hAnsiTheme="majorHAnsi"/>
          <w:lang w:val="fr-FR"/>
        </w:rPr>
      </w:pPr>
      <w:r w:rsidRPr="005A6274">
        <w:rPr>
          <w:rFonts w:asciiTheme="majorHAnsi" w:hAnsiTheme="majorHAnsi"/>
          <w:lang w:val="fr-FR"/>
        </w:rPr>
        <w:t xml:space="preserve">Avec quelques changements en ce qui concerne le degré d’association des variables, la </w:t>
      </w:r>
      <w:r w:rsidRPr="00AA7A17">
        <w:rPr>
          <w:rFonts w:asciiTheme="majorHAnsi" w:hAnsiTheme="majorHAnsi"/>
          <w:lang w:val="fr-FR"/>
        </w:rPr>
        <w:t>tendan</w:t>
      </w:r>
      <w:r w:rsidR="00244C48" w:rsidRPr="00AA7A17">
        <w:rPr>
          <w:rFonts w:asciiTheme="majorHAnsi" w:hAnsiTheme="majorHAnsi"/>
          <w:lang w:val="fr-FR"/>
        </w:rPr>
        <w:t>ce se maintient également lorsque l’</w:t>
      </w:r>
      <w:r w:rsidR="007621FB" w:rsidRPr="00AA7A17">
        <w:rPr>
          <w:rFonts w:asciiTheme="majorHAnsi" w:hAnsiTheme="majorHAnsi"/>
          <w:lang w:val="fr-FR"/>
        </w:rPr>
        <w:t>on retire les 22 municipalités</w:t>
      </w:r>
      <w:r w:rsidRPr="00AA7A17">
        <w:rPr>
          <w:rFonts w:asciiTheme="majorHAnsi" w:hAnsiTheme="majorHAnsi"/>
          <w:lang w:val="fr-FR"/>
        </w:rPr>
        <w:t xml:space="preserve"> les plus peuplées</w:t>
      </w:r>
      <w:r w:rsidR="00C43AB1" w:rsidRPr="00AA7A17">
        <w:rPr>
          <w:rFonts w:asciiTheme="majorHAnsi" w:hAnsiTheme="majorHAnsi"/>
          <w:lang w:val="fr-FR"/>
        </w:rPr>
        <w:t xml:space="preserve"> et avec l</w:t>
      </w:r>
      <w:r w:rsidR="00AA7A17" w:rsidRPr="00AA7A17">
        <w:rPr>
          <w:rFonts w:asciiTheme="majorHAnsi" w:hAnsiTheme="majorHAnsi"/>
          <w:lang w:val="fr-FR"/>
        </w:rPr>
        <w:t>e plus grand nombre de familles</w:t>
      </w:r>
      <w:r w:rsidR="00C43AB1" w:rsidRPr="00AA7A17">
        <w:rPr>
          <w:rFonts w:asciiTheme="majorHAnsi" w:hAnsiTheme="majorHAnsi"/>
          <w:lang w:val="fr-FR"/>
        </w:rPr>
        <w:t>?</w:t>
      </w:r>
      <w:r w:rsidR="00AA7A17">
        <w:rPr>
          <w:rFonts w:asciiTheme="majorHAnsi" w:hAnsiTheme="majorHAnsi"/>
          <w:lang w:val="fr-FR"/>
        </w:rPr>
        <w:t xml:space="preserve"> </w:t>
      </w:r>
      <w:r w:rsidR="00A77AB5" w:rsidRPr="000860C7">
        <w:rPr>
          <w:rFonts w:asciiTheme="majorHAnsi" w:hAnsiTheme="majorHAnsi"/>
          <w:lang w:val="fr-FR"/>
        </w:rPr>
        <w:t>N</w:t>
      </w:r>
      <w:r w:rsidRPr="000860C7">
        <w:rPr>
          <w:rFonts w:asciiTheme="majorHAnsi" w:hAnsiTheme="majorHAnsi"/>
          <w:lang w:val="fr-FR"/>
        </w:rPr>
        <w:t xml:space="preserve">éanmoins dans cet ensemble la présence des plus jeunes </w:t>
      </w:r>
      <w:r w:rsidR="000860C7" w:rsidRPr="000860C7">
        <w:rPr>
          <w:rFonts w:asciiTheme="majorHAnsi" w:hAnsiTheme="majorHAnsi"/>
          <w:lang w:val="fr-FR"/>
        </w:rPr>
        <w:t xml:space="preserve">a un rapport positif </w:t>
      </w:r>
      <w:r w:rsidR="00244C48">
        <w:rPr>
          <w:rFonts w:asciiTheme="majorHAnsi" w:hAnsiTheme="majorHAnsi"/>
          <w:lang w:val="fr-FR"/>
        </w:rPr>
        <w:t>sur</w:t>
      </w:r>
      <w:r w:rsidR="000860C7" w:rsidRPr="000860C7">
        <w:rPr>
          <w:rFonts w:asciiTheme="majorHAnsi" w:hAnsiTheme="majorHAnsi"/>
          <w:lang w:val="fr-FR"/>
        </w:rPr>
        <w:t xml:space="preserve"> la variation du nombre de familles</w:t>
      </w:r>
      <w:r w:rsidR="00A77AB5" w:rsidRPr="000860C7">
        <w:rPr>
          <w:rFonts w:asciiTheme="majorHAnsi" w:hAnsiTheme="majorHAnsi"/>
          <w:lang w:val="fr-FR"/>
        </w:rPr>
        <w:t xml:space="preserve"> (</w:t>
      </w:r>
      <w:r w:rsidR="00A77AB5" w:rsidRPr="000860C7">
        <w:rPr>
          <w:rFonts w:ascii="Calibri" w:eastAsia="Times New Roman" w:hAnsi="Calibri" w:cs="Times New Roman"/>
          <w:color w:val="000000"/>
          <w:lang w:val="fr-FR"/>
        </w:rPr>
        <w:t>Pearson= 0, 616</w:t>
      </w:r>
      <w:r w:rsidR="000860C7">
        <w:rPr>
          <w:rFonts w:asciiTheme="majorHAnsi" w:hAnsiTheme="majorHAnsi"/>
          <w:lang w:val="fr-FR"/>
        </w:rPr>
        <w:t>, valeur</w:t>
      </w:r>
      <w:r w:rsidR="00A77AB5" w:rsidRPr="000860C7">
        <w:rPr>
          <w:rFonts w:asciiTheme="majorHAnsi" w:hAnsiTheme="majorHAnsi"/>
          <w:lang w:val="fr-FR"/>
        </w:rPr>
        <w:t xml:space="preserve"> p =0,002</w:t>
      </w:r>
      <w:r w:rsidR="00A77AB5" w:rsidRPr="000860C7">
        <w:rPr>
          <w:rFonts w:ascii="Calibri" w:eastAsia="Times New Roman" w:hAnsi="Calibri" w:cs="Times New Roman"/>
          <w:color w:val="000000"/>
          <w:lang w:val="fr-FR"/>
        </w:rPr>
        <w:t xml:space="preserve">) </w:t>
      </w:r>
      <w:r w:rsidR="000860C7">
        <w:rPr>
          <w:rFonts w:asciiTheme="majorHAnsi" w:hAnsiTheme="majorHAnsi"/>
          <w:lang w:val="fr-FR"/>
        </w:rPr>
        <w:t>alors qu’</w:t>
      </w:r>
      <w:r w:rsidR="00A77AB5" w:rsidRPr="000860C7">
        <w:rPr>
          <w:rFonts w:asciiTheme="majorHAnsi" w:hAnsiTheme="majorHAnsi"/>
          <w:lang w:val="fr-FR"/>
        </w:rPr>
        <w:t>u</w:t>
      </w:r>
      <w:r w:rsidR="000860C7">
        <w:rPr>
          <w:rFonts w:asciiTheme="majorHAnsi" w:hAnsiTheme="majorHAnsi"/>
          <w:lang w:val="fr-FR"/>
        </w:rPr>
        <w:t>ne</w:t>
      </w:r>
      <w:r w:rsidR="00A77AB5" w:rsidRPr="000860C7">
        <w:rPr>
          <w:rFonts w:asciiTheme="majorHAnsi" w:hAnsiTheme="majorHAnsi"/>
          <w:lang w:val="fr-FR"/>
        </w:rPr>
        <w:t xml:space="preserve"> au</w:t>
      </w:r>
      <w:r w:rsidR="000860C7">
        <w:rPr>
          <w:rFonts w:asciiTheme="majorHAnsi" w:hAnsiTheme="majorHAnsi"/>
          <w:lang w:val="fr-FR"/>
        </w:rPr>
        <w:t>g</w:t>
      </w:r>
      <w:r w:rsidR="00A77AB5" w:rsidRPr="000860C7">
        <w:rPr>
          <w:rFonts w:asciiTheme="majorHAnsi" w:hAnsiTheme="majorHAnsi"/>
          <w:lang w:val="fr-FR"/>
        </w:rPr>
        <w:t>ment</w:t>
      </w:r>
      <w:r w:rsidR="000860C7">
        <w:rPr>
          <w:rFonts w:asciiTheme="majorHAnsi" w:hAnsiTheme="majorHAnsi"/>
          <w:lang w:val="fr-FR"/>
        </w:rPr>
        <w:t>ati</w:t>
      </w:r>
      <w:r w:rsidR="00A77AB5" w:rsidRPr="000860C7">
        <w:rPr>
          <w:rFonts w:asciiTheme="majorHAnsi" w:hAnsiTheme="majorHAnsi"/>
          <w:lang w:val="fr-FR"/>
        </w:rPr>
        <w:t>o</w:t>
      </w:r>
      <w:r w:rsidR="000860C7">
        <w:rPr>
          <w:rFonts w:asciiTheme="majorHAnsi" w:hAnsiTheme="majorHAnsi"/>
          <w:lang w:val="fr-FR"/>
        </w:rPr>
        <w:t>n de</w:t>
      </w:r>
      <w:r w:rsidR="00A77AB5" w:rsidRPr="000860C7">
        <w:rPr>
          <w:rFonts w:asciiTheme="majorHAnsi" w:hAnsiTheme="majorHAnsi"/>
          <w:lang w:val="fr-FR"/>
        </w:rPr>
        <w:t xml:space="preserve">s </w:t>
      </w:r>
      <w:r w:rsidR="000860C7">
        <w:rPr>
          <w:rFonts w:asciiTheme="majorHAnsi" w:hAnsiTheme="majorHAnsi"/>
          <w:lang w:val="fr-FR"/>
        </w:rPr>
        <w:t>plus</w:t>
      </w:r>
      <w:r w:rsidR="006F50F6">
        <w:rPr>
          <w:rFonts w:asciiTheme="majorHAnsi" w:hAnsiTheme="majorHAnsi"/>
          <w:lang w:val="fr-FR"/>
        </w:rPr>
        <w:t xml:space="preserve"> </w:t>
      </w:r>
      <w:r w:rsidR="006F50F6" w:rsidRPr="00AA7A17">
        <w:rPr>
          <w:rFonts w:asciiTheme="majorHAnsi" w:hAnsiTheme="majorHAnsi"/>
          <w:lang w:val="fr-FR"/>
        </w:rPr>
        <w:t>âgés</w:t>
      </w:r>
      <w:r w:rsidR="00A77AB5" w:rsidRPr="00AA7A17">
        <w:rPr>
          <w:rFonts w:asciiTheme="majorHAnsi" w:hAnsiTheme="majorHAnsi"/>
          <w:lang w:val="fr-FR"/>
        </w:rPr>
        <w:t xml:space="preserve"> </w:t>
      </w:r>
      <w:r w:rsidR="000860C7" w:rsidRPr="00AA7A17">
        <w:rPr>
          <w:rFonts w:asciiTheme="majorHAnsi" w:hAnsiTheme="majorHAnsi"/>
          <w:lang w:val="fr-FR"/>
        </w:rPr>
        <w:t>aura encore un effet inverse</w:t>
      </w:r>
      <w:r w:rsidR="00A77AB5" w:rsidRPr="00AA7A17">
        <w:rPr>
          <w:rFonts w:ascii="Calibri" w:eastAsia="Times New Roman" w:hAnsi="Calibri" w:cs="Times New Roman"/>
          <w:lang w:val="fr-FR"/>
        </w:rPr>
        <w:t xml:space="preserve"> (Pearson= -0,530</w:t>
      </w:r>
      <w:r w:rsidR="00A77AB5" w:rsidRPr="00AA7A17">
        <w:rPr>
          <w:rFonts w:asciiTheme="majorHAnsi" w:hAnsiTheme="majorHAnsi"/>
          <w:lang w:val="fr-FR"/>
        </w:rPr>
        <w:t>, val</w:t>
      </w:r>
      <w:r w:rsidR="005967E8" w:rsidRPr="00AA7A17">
        <w:rPr>
          <w:rFonts w:asciiTheme="majorHAnsi" w:hAnsiTheme="majorHAnsi"/>
          <w:lang w:val="fr-FR"/>
        </w:rPr>
        <w:t>eur</w:t>
      </w:r>
      <w:r w:rsidR="00A77AB5" w:rsidRPr="00AA7A17">
        <w:rPr>
          <w:rFonts w:asciiTheme="majorHAnsi" w:hAnsiTheme="majorHAnsi"/>
          <w:lang w:val="fr-FR"/>
        </w:rPr>
        <w:t xml:space="preserve"> p =0,011</w:t>
      </w:r>
      <w:r w:rsidR="00A77AB5" w:rsidRPr="00AA7A17">
        <w:rPr>
          <w:rFonts w:ascii="Calibri" w:eastAsia="Times New Roman" w:hAnsi="Calibri" w:cs="Times New Roman"/>
          <w:lang w:val="fr-FR"/>
        </w:rPr>
        <w:t>)</w:t>
      </w:r>
      <w:r w:rsidR="00A77AB5" w:rsidRPr="00AA7A17">
        <w:rPr>
          <w:rFonts w:asciiTheme="majorHAnsi" w:hAnsiTheme="majorHAnsi"/>
          <w:lang w:val="fr-FR"/>
        </w:rPr>
        <w:t xml:space="preserve">. </w:t>
      </w:r>
      <w:r w:rsidR="00B475EF" w:rsidRPr="00AA7A17">
        <w:rPr>
          <w:rFonts w:asciiTheme="majorHAnsi" w:hAnsiTheme="majorHAnsi"/>
          <w:lang w:val="fr-FR"/>
        </w:rPr>
        <w:t>La</w:t>
      </w:r>
      <w:r w:rsidR="00A77AB5" w:rsidRPr="00AA7A17">
        <w:rPr>
          <w:rFonts w:asciiTheme="majorHAnsi" w:hAnsiTheme="majorHAnsi"/>
          <w:lang w:val="fr-FR"/>
        </w:rPr>
        <w:t xml:space="preserve"> rela</w:t>
      </w:r>
      <w:r w:rsidR="00B475EF" w:rsidRPr="00AA7A17">
        <w:rPr>
          <w:rFonts w:asciiTheme="majorHAnsi" w:hAnsiTheme="majorHAnsi"/>
          <w:lang w:val="fr-FR"/>
        </w:rPr>
        <w:t>tion</w:t>
      </w:r>
      <w:r w:rsidR="00A77AB5" w:rsidRPr="00AA7A17">
        <w:rPr>
          <w:rFonts w:asciiTheme="majorHAnsi" w:hAnsiTheme="majorHAnsi"/>
          <w:lang w:val="fr-FR"/>
        </w:rPr>
        <w:t xml:space="preserve"> </w:t>
      </w:r>
      <w:r w:rsidR="00B475EF" w:rsidRPr="00AA7A17">
        <w:rPr>
          <w:rFonts w:asciiTheme="majorHAnsi" w:hAnsiTheme="majorHAnsi"/>
          <w:lang w:val="fr-FR"/>
        </w:rPr>
        <w:t>avec les familles qui</w:t>
      </w:r>
      <w:r w:rsidR="00A77AB5" w:rsidRPr="00AA7A17">
        <w:rPr>
          <w:rFonts w:asciiTheme="majorHAnsi" w:hAnsiTheme="majorHAnsi"/>
          <w:lang w:val="fr-FR"/>
        </w:rPr>
        <w:t xml:space="preserve"> </w:t>
      </w:r>
      <w:r w:rsidR="00244C48" w:rsidRPr="00AA7A17">
        <w:rPr>
          <w:rFonts w:asciiTheme="majorHAnsi" w:hAnsiTheme="majorHAnsi"/>
          <w:lang w:val="fr-FR"/>
        </w:rPr>
        <w:t>se composent</w:t>
      </w:r>
      <w:r w:rsidR="006F50F6" w:rsidRPr="00AA7A17">
        <w:rPr>
          <w:rFonts w:asciiTheme="majorHAnsi" w:hAnsiTheme="majorHAnsi"/>
          <w:lang w:val="fr-FR"/>
        </w:rPr>
        <w:t xml:space="preserve"> seulement </w:t>
      </w:r>
      <w:r w:rsidR="00A77AB5" w:rsidRPr="00AA7A17">
        <w:rPr>
          <w:rFonts w:asciiTheme="majorHAnsi" w:hAnsiTheme="majorHAnsi"/>
          <w:lang w:val="fr-FR"/>
        </w:rPr>
        <w:t xml:space="preserve"> </w:t>
      </w:r>
      <w:r w:rsidR="00B475EF" w:rsidRPr="00AA7A17">
        <w:rPr>
          <w:rFonts w:asciiTheme="majorHAnsi" w:hAnsiTheme="majorHAnsi"/>
          <w:lang w:val="fr-FR"/>
        </w:rPr>
        <w:t xml:space="preserve">de </w:t>
      </w:r>
      <w:r w:rsidR="00A77AB5" w:rsidRPr="00AA7A17">
        <w:rPr>
          <w:rFonts w:asciiTheme="majorHAnsi" w:hAnsiTheme="majorHAnsi"/>
          <w:lang w:val="fr-FR"/>
        </w:rPr>
        <w:t>pe</w:t>
      </w:r>
      <w:r w:rsidR="00B475EF" w:rsidRPr="00AA7A17">
        <w:rPr>
          <w:rFonts w:asciiTheme="majorHAnsi" w:hAnsiTheme="majorHAnsi"/>
          <w:lang w:val="fr-FR"/>
        </w:rPr>
        <w:t>rsonnes</w:t>
      </w:r>
      <w:r w:rsidR="00A77AB5" w:rsidRPr="00AA7A17">
        <w:rPr>
          <w:rFonts w:asciiTheme="majorHAnsi" w:hAnsiTheme="majorHAnsi"/>
          <w:lang w:val="fr-FR"/>
        </w:rPr>
        <w:t xml:space="preserve"> </w:t>
      </w:r>
      <w:r w:rsidR="00B475EF" w:rsidRPr="00AA7A17">
        <w:rPr>
          <w:rFonts w:asciiTheme="majorHAnsi" w:hAnsiTheme="majorHAnsi"/>
          <w:lang w:val="fr-FR"/>
        </w:rPr>
        <w:t>à l’âge actif cesse d’être significative</w:t>
      </w:r>
      <w:r w:rsidR="00A77AB5" w:rsidRPr="00AA7A17">
        <w:rPr>
          <w:rFonts w:asciiTheme="majorHAnsi" w:hAnsiTheme="majorHAnsi"/>
          <w:lang w:val="fr-FR"/>
        </w:rPr>
        <w:t xml:space="preserve"> (</w:t>
      </w:r>
      <w:r w:rsidR="00A77AB5" w:rsidRPr="00AA7A17">
        <w:rPr>
          <w:rFonts w:ascii="Calibri" w:eastAsia="Times New Roman" w:hAnsi="Calibri" w:cs="Times New Roman"/>
          <w:lang w:val="fr-FR"/>
        </w:rPr>
        <w:t>Pearson= 0, 367</w:t>
      </w:r>
      <w:r w:rsidR="00A77AB5" w:rsidRPr="00AA7A17">
        <w:rPr>
          <w:rFonts w:asciiTheme="majorHAnsi" w:hAnsiTheme="majorHAnsi"/>
          <w:lang w:val="fr-FR"/>
        </w:rPr>
        <w:t>, val</w:t>
      </w:r>
      <w:r w:rsidR="00B475EF" w:rsidRPr="00AA7A17">
        <w:rPr>
          <w:rFonts w:asciiTheme="majorHAnsi" w:hAnsiTheme="majorHAnsi"/>
          <w:lang w:val="fr-FR"/>
        </w:rPr>
        <w:t>eu</w:t>
      </w:r>
      <w:r w:rsidR="00A77AB5" w:rsidRPr="00AA7A17">
        <w:rPr>
          <w:rFonts w:asciiTheme="majorHAnsi" w:hAnsiTheme="majorHAnsi"/>
          <w:lang w:val="fr-FR"/>
        </w:rPr>
        <w:t>r p =0,093</w:t>
      </w:r>
      <w:r w:rsidR="00A77AB5" w:rsidRPr="00AA7A17">
        <w:rPr>
          <w:rFonts w:ascii="Calibri" w:eastAsia="Times New Roman" w:hAnsi="Calibri" w:cs="Times New Roman"/>
          <w:lang w:val="fr-FR"/>
        </w:rPr>
        <w:t>)</w:t>
      </w:r>
      <w:r w:rsidR="00A77AB5" w:rsidRPr="00AA7A17">
        <w:rPr>
          <w:rFonts w:asciiTheme="majorHAnsi" w:hAnsiTheme="majorHAnsi"/>
          <w:lang w:val="fr-FR"/>
        </w:rPr>
        <w:t xml:space="preserve">. </w:t>
      </w:r>
      <w:r w:rsidR="00B475EF" w:rsidRPr="00AA7A17">
        <w:rPr>
          <w:rFonts w:asciiTheme="majorHAnsi" w:hAnsiTheme="majorHAnsi"/>
          <w:lang w:val="fr-FR"/>
        </w:rPr>
        <w:t xml:space="preserve">De même la variation pour les familles </w:t>
      </w:r>
      <w:r w:rsidR="0084717C" w:rsidRPr="00AA7A17">
        <w:rPr>
          <w:rFonts w:asciiTheme="majorHAnsi" w:hAnsiTheme="majorHAnsi"/>
          <w:lang w:val="fr-FR"/>
        </w:rPr>
        <w:t>qui ont des personnes âgées dans sa composition</w:t>
      </w:r>
      <w:r w:rsidR="00B475EF" w:rsidRPr="00AA7A17">
        <w:rPr>
          <w:rFonts w:asciiTheme="majorHAnsi" w:hAnsiTheme="majorHAnsi"/>
          <w:lang w:val="fr-FR"/>
        </w:rPr>
        <w:t xml:space="preserve"> est inversée quant au taux de manutention</w:t>
      </w:r>
      <w:r w:rsidR="006F50F6" w:rsidRPr="00AA7A17">
        <w:rPr>
          <w:rFonts w:asciiTheme="majorHAnsi" w:hAnsiTheme="majorHAnsi"/>
          <w:lang w:val="fr-FR"/>
        </w:rPr>
        <w:t> de résidence?</w:t>
      </w:r>
      <w:r w:rsidR="00B475EF" w:rsidRPr="00AA7A17">
        <w:rPr>
          <w:rFonts w:asciiTheme="majorHAnsi" w:hAnsiTheme="majorHAnsi"/>
          <w:lang w:val="fr-FR"/>
        </w:rPr>
        <w:t xml:space="preserve"> </w:t>
      </w:r>
      <w:r w:rsidR="00A77AB5" w:rsidRPr="00AA7A17">
        <w:rPr>
          <w:rFonts w:asciiTheme="majorHAnsi" w:hAnsiTheme="majorHAnsi"/>
          <w:lang w:val="fr-FR"/>
        </w:rPr>
        <w:t>(</w:t>
      </w:r>
      <w:r w:rsidR="007621FB" w:rsidRPr="00AA7A17">
        <w:rPr>
          <w:rFonts w:ascii="Calibri" w:eastAsia="Times New Roman" w:hAnsi="Calibri" w:cs="Times New Roman"/>
          <w:lang w:val="fr-FR"/>
        </w:rPr>
        <w:t>Pearson=- 0, 53</w:t>
      </w:r>
      <w:r w:rsidR="00A77AB5" w:rsidRPr="00AA7A17">
        <w:rPr>
          <w:rFonts w:ascii="Calibri" w:eastAsia="Times New Roman" w:hAnsi="Calibri" w:cs="Times New Roman"/>
          <w:lang w:val="fr-FR"/>
        </w:rPr>
        <w:t>0</w:t>
      </w:r>
      <w:r w:rsidR="00B475EF" w:rsidRPr="00AA7A17">
        <w:rPr>
          <w:rFonts w:asciiTheme="majorHAnsi" w:hAnsiTheme="majorHAnsi"/>
          <w:lang w:val="fr-FR"/>
        </w:rPr>
        <w:t>, valeu</w:t>
      </w:r>
      <w:r w:rsidR="00A77AB5" w:rsidRPr="00AA7A17">
        <w:rPr>
          <w:rFonts w:asciiTheme="majorHAnsi" w:hAnsiTheme="majorHAnsi"/>
          <w:lang w:val="fr-FR"/>
        </w:rPr>
        <w:t>r p =0,000)</w:t>
      </w:r>
    </w:p>
    <w:p w14:paraId="7C34F08B" w14:textId="77777777" w:rsidR="00A77AB5" w:rsidRPr="00C54560" w:rsidRDefault="006C792E" w:rsidP="00A77AB5">
      <w:pPr>
        <w:widowControl w:val="0"/>
        <w:autoSpaceDE w:val="0"/>
        <w:autoSpaceDN w:val="0"/>
        <w:adjustRightInd w:val="0"/>
        <w:jc w:val="both"/>
        <w:rPr>
          <w:rFonts w:ascii="Calibri" w:hAnsi="Calibri" w:cs="Calibri"/>
          <w:strike/>
          <w:sz w:val="30"/>
          <w:szCs w:val="30"/>
          <w:lang w:val="fr-FR"/>
        </w:rPr>
      </w:pPr>
      <w:r w:rsidRPr="002708EE">
        <w:rPr>
          <w:rFonts w:asciiTheme="majorHAnsi" w:hAnsiTheme="majorHAnsi"/>
          <w:lang w:val="fr-FR"/>
        </w:rPr>
        <w:t xml:space="preserve">Dans l’ensemble des municipalités </w:t>
      </w:r>
      <w:r w:rsidRPr="00AA7A17">
        <w:rPr>
          <w:rFonts w:asciiTheme="majorHAnsi" w:hAnsiTheme="majorHAnsi"/>
          <w:lang w:val="fr-FR"/>
        </w:rPr>
        <w:t>portugaises</w:t>
      </w:r>
      <w:r w:rsidR="007621FB" w:rsidRPr="00AA7A17">
        <w:rPr>
          <w:rFonts w:asciiTheme="majorHAnsi" w:hAnsiTheme="majorHAnsi"/>
          <w:lang w:val="fr-FR"/>
        </w:rPr>
        <w:t xml:space="preserve">, </w:t>
      </w:r>
      <w:r w:rsidR="006F50F6" w:rsidRPr="00AA7A17">
        <w:rPr>
          <w:rFonts w:asciiTheme="majorHAnsi" w:hAnsiTheme="majorHAnsi"/>
          <w:lang w:val="fr-FR"/>
        </w:rPr>
        <w:t>celles</w:t>
      </w:r>
      <w:r w:rsidR="006F50F6">
        <w:rPr>
          <w:rFonts w:asciiTheme="majorHAnsi" w:hAnsiTheme="majorHAnsi"/>
          <w:color w:val="FF0000"/>
          <w:lang w:val="fr-FR"/>
        </w:rPr>
        <w:t xml:space="preserve"> </w:t>
      </w:r>
      <w:r w:rsidR="002708EE" w:rsidRPr="002708EE">
        <w:rPr>
          <w:rFonts w:asciiTheme="majorHAnsi" w:hAnsiTheme="majorHAnsi"/>
          <w:lang w:val="fr-FR"/>
        </w:rPr>
        <w:t xml:space="preserve">ayant le taux de permanence </w:t>
      </w:r>
      <w:r w:rsidR="006F50F6" w:rsidRPr="00AA7A17">
        <w:rPr>
          <w:rFonts w:asciiTheme="majorHAnsi" w:hAnsiTheme="majorHAnsi"/>
          <w:lang w:val="fr-FR"/>
        </w:rPr>
        <w:t xml:space="preserve">de résidence </w:t>
      </w:r>
      <w:r w:rsidR="002708EE" w:rsidRPr="00AA7A17">
        <w:rPr>
          <w:rFonts w:asciiTheme="majorHAnsi" w:hAnsiTheme="majorHAnsi"/>
          <w:lang w:val="fr-FR"/>
        </w:rPr>
        <w:t xml:space="preserve">le plus important, s’associe (significativement) aux </w:t>
      </w:r>
      <w:r w:rsidR="006F50F6" w:rsidRPr="00AA7A17">
        <w:rPr>
          <w:rFonts w:asciiTheme="majorHAnsi" w:hAnsiTheme="majorHAnsi"/>
          <w:lang w:val="fr-FR"/>
        </w:rPr>
        <w:t>municipalités</w:t>
      </w:r>
      <w:r w:rsidR="002708EE" w:rsidRPr="006F50F6">
        <w:rPr>
          <w:rFonts w:asciiTheme="majorHAnsi" w:hAnsiTheme="majorHAnsi"/>
          <w:color w:val="FF0000"/>
          <w:lang w:val="fr-FR"/>
        </w:rPr>
        <w:t xml:space="preserve"> </w:t>
      </w:r>
      <w:r w:rsidR="002708EE" w:rsidRPr="002708EE">
        <w:rPr>
          <w:rFonts w:asciiTheme="majorHAnsi" w:hAnsiTheme="majorHAnsi"/>
          <w:lang w:val="fr-FR"/>
        </w:rPr>
        <w:t>constitué</w:t>
      </w:r>
      <w:r w:rsidR="00244C48">
        <w:rPr>
          <w:rFonts w:asciiTheme="majorHAnsi" w:hAnsiTheme="majorHAnsi"/>
          <w:lang w:val="fr-FR"/>
        </w:rPr>
        <w:t>e</w:t>
      </w:r>
      <w:r w:rsidR="002708EE" w:rsidRPr="002708EE">
        <w:rPr>
          <w:rFonts w:asciiTheme="majorHAnsi" w:hAnsiTheme="majorHAnsi"/>
          <w:lang w:val="fr-FR"/>
        </w:rPr>
        <w:t>s par une faible quantité de ménages ayant 1 ou 2 personnes et une grande quantit</w:t>
      </w:r>
      <w:r w:rsidR="002708EE">
        <w:rPr>
          <w:rFonts w:asciiTheme="majorHAnsi" w:hAnsiTheme="majorHAnsi"/>
          <w:lang w:val="fr-FR"/>
        </w:rPr>
        <w:t xml:space="preserve">é de familles ayant 3 ou 4 personnes. </w:t>
      </w:r>
      <w:r w:rsidR="002708EE" w:rsidRPr="002708EE">
        <w:rPr>
          <w:rFonts w:asciiTheme="majorHAnsi" w:hAnsiTheme="majorHAnsi"/>
          <w:lang w:val="fr-FR"/>
        </w:rPr>
        <w:t>Ce qui tend à se répéter lo</w:t>
      </w:r>
      <w:r w:rsidR="002708EE">
        <w:rPr>
          <w:rFonts w:asciiTheme="majorHAnsi" w:hAnsiTheme="majorHAnsi"/>
          <w:lang w:val="fr-FR"/>
        </w:rPr>
        <w:t>r</w:t>
      </w:r>
      <w:r w:rsidR="002708EE" w:rsidRPr="002708EE">
        <w:rPr>
          <w:rFonts w:asciiTheme="majorHAnsi" w:hAnsiTheme="majorHAnsi"/>
          <w:lang w:val="fr-FR"/>
        </w:rPr>
        <w:t>squ</w:t>
      </w:r>
      <w:r w:rsidR="002708EE">
        <w:rPr>
          <w:rFonts w:asciiTheme="majorHAnsi" w:hAnsiTheme="majorHAnsi"/>
          <w:lang w:val="fr-FR"/>
        </w:rPr>
        <w:t xml:space="preserve">e </w:t>
      </w:r>
      <w:r w:rsidR="002708EE" w:rsidRPr="00AA7A17">
        <w:rPr>
          <w:rFonts w:asciiTheme="majorHAnsi" w:hAnsiTheme="majorHAnsi"/>
          <w:lang w:val="fr-FR"/>
        </w:rPr>
        <w:t xml:space="preserve">l’on </w:t>
      </w:r>
      <w:r w:rsidR="006F50F6" w:rsidRPr="00AA7A17">
        <w:rPr>
          <w:rFonts w:asciiTheme="majorHAnsi" w:hAnsiTheme="majorHAnsi"/>
          <w:lang w:val="fr-FR"/>
        </w:rPr>
        <w:t>ôte</w:t>
      </w:r>
      <w:r w:rsidR="002708EE" w:rsidRPr="006F50F6">
        <w:rPr>
          <w:rFonts w:asciiTheme="majorHAnsi" w:hAnsiTheme="majorHAnsi"/>
          <w:lang w:val="fr-FR"/>
        </w:rPr>
        <w:t xml:space="preserve"> </w:t>
      </w:r>
      <w:r w:rsidR="002708EE" w:rsidRPr="002708EE">
        <w:rPr>
          <w:rFonts w:asciiTheme="majorHAnsi" w:hAnsiTheme="majorHAnsi"/>
          <w:lang w:val="fr-FR"/>
        </w:rPr>
        <w:t>les 4 communes les plus peuplées</w:t>
      </w:r>
      <w:r w:rsidR="002708EE">
        <w:rPr>
          <w:rFonts w:asciiTheme="majorHAnsi" w:hAnsiTheme="majorHAnsi"/>
          <w:lang w:val="fr-FR"/>
        </w:rPr>
        <w:t>,</w:t>
      </w:r>
      <w:r w:rsidR="002708EE" w:rsidRPr="002708EE">
        <w:rPr>
          <w:rFonts w:asciiTheme="majorHAnsi" w:hAnsiTheme="majorHAnsi"/>
          <w:lang w:val="fr-FR"/>
        </w:rPr>
        <w:t xml:space="preserve"> tout comme le</w:t>
      </w:r>
      <w:r w:rsidR="002708EE">
        <w:rPr>
          <w:rFonts w:asciiTheme="majorHAnsi" w:hAnsiTheme="majorHAnsi"/>
          <w:lang w:val="fr-FR"/>
        </w:rPr>
        <w:t>s</w:t>
      </w:r>
      <w:r w:rsidR="002708EE" w:rsidRPr="002708EE">
        <w:rPr>
          <w:rFonts w:asciiTheme="majorHAnsi" w:hAnsiTheme="majorHAnsi"/>
          <w:lang w:val="fr-FR"/>
        </w:rPr>
        <w:t xml:space="preserve"> 22 communes </w:t>
      </w:r>
      <w:r w:rsidR="00244C48">
        <w:rPr>
          <w:rFonts w:asciiTheme="majorHAnsi" w:hAnsiTheme="majorHAnsi"/>
          <w:lang w:val="fr-FR"/>
        </w:rPr>
        <w:t xml:space="preserve">également </w:t>
      </w:r>
      <w:r w:rsidR="002708EE" w:rsidRPr="002708EE">
        <w:rPr>
          <w:rFonts w:asciiTheme="majorHAnsi" w:hAnsiTheme="majorHAnsi"/>
          <w:lang w:val="fr-FR"/>
        </w:rPr>
        <w:t xml:space="preserve">les plus peuplées. Cependant si l’on considère seulement les 22 communes les plus peuplées le rapport n’est pas significatif. </w:t>
      </w:r>
    </w:p>
    <w:p w14:paraId="15FCF5F1" w14:textId="77777777" w:rsidR="00A77AB5" w:rsidRPr="009C1D0C" w:rsidRDefault="00571825" w:rsidP="00A77AB5">
      <w:pPr>
        <w:widowControl w:val="0"/>
        <w:autoSpaceDE w:val="0"/>
        <w:autoSpaceDN w:val="0"/>
        <w:adjustRightInd w:val="0"/>
        <w:jc w:val="both"/>
        <w:rPr>
          <w:rFonts w:ascii="Calibri" w:hAnsi="Calibri" w:cs="Calibri"/>
          <w:lang w:val="fr-FR"/>
        </w:rPr>
      </w:pPr>
      <w:r w:rsidRPr="00571825">
        <w:rPr>
          <w:rFonts w:ascii="Calibri" w:hAnsi="Calibri" w:cs="Calibri"/>
          <w:lang w:val="fr-FR"/>
        </w:rPr>
        <w:t xml:space="preserve">Seules les </w:t>
      </w:r>
      <w:r w:rsidR="00A77AB5" w:rsidRPr="00571825">
        <w:rPr>
          <w:rFonts w:ascii="Calibri" w:hAnsi="Calibri" w:cs="Calibri"/>
          <w:lang w:val="fr-FR"/>
        </w:rPr>
        <w:t>fam</w:t>
      </w:r>
      <w:r w:rsidRPr="00571825">
        <w:rPr>
          <w:rFonts w:ascii="Calibri" w:hAnsi="Calibri" w:cs="Calibri"/>
          <w:lang w:val="fr-FR"/>
        </w:rPr>
        <w:t xml:space="preserve">illes </w:t>
      </w:r>
      <w:r w:rsidRPr="00AA7A17">
        <w:rPr>
          <w:rFonts w:ascii="Calibri" w:hAnsi="Calibri" w:cs="Calibri"/>
          <w:lang w:val="fr-FR"/>
        </w:rPr>
        <w:t xml:space="preserve">de </w:t>
      </w:r>
      <w:r w:rsidR="006F50F6" w:rsidRPr="00AA7A17">
        <w:rPr>
          <w:rFonts w:ascii="Calibri" w:hAnsi="Calibri" w:cs="Calibri"/>
          <w:lang w:val="fr-FR"/>
        </w:rPr>
        <w:t>2</w:t>
      </w:r>
      <w:r w:rsidR="006F50F6">
        <w:rPr>
          <w:rFonts w:ascii="Calibri" w:hAnsi="Calibri" w:cs="Calibri"/>
          <w:color w:val="FF0000"/>
          <w:lang w:val="fr-FR"/>
        </w:rPr>
        <w:t xml:space="preserve"> </w:t>
      </w:r>
      <w:r w:rsidRPr="00571825">
        <w:rPr>
          <w:rFonts w:ascii="Calibri" w:hAnsi="Calibri" w:cs="Calibri"/>
          <w:lang w:val="fr-FR"/>
        </w:rPr>
        <w:t>ou 4 personnes induisent l’existence d’une association significative,</w:t>
      </w:r>
      <w:r w:rsidR="005962F1">
        <w:rPr>
          <w:rFonts w:ascii="Calibri" w:hAnsi="Calibri" w:cs="Calibri"/>
          <w:lang w:val="fr-FR"/>
        </w:rPr>
        <w:t xml:space="preserve"> bien que</w:t>
      </w:r>
      <w:r w:rsidRPr="00571825">
        <w:rPr>
          <w:rFonts w:ascii="Calibri" w:hAnsi="Calibri" w:cs="Calibri"/>
          <w:lang w:val="fr-FR"/>
        </w:rPr>
        <w:t xml:space="preserve"> faible, entre le pourcentage de personnes changeant de </w:t>
      </w:r>
      <w:r w:rsidR="000503D9" w:rsidRPr="00AA7A17">
        <w:rPr>
          <w:rFonts w:asciiTheme="majorHAnsi" w:hAnsiTheme="majorHAnsi"/>
          <w:lang w:val="fr-FR"/>
        </w:rPr>
        <w:t>municipalité</w:t>
      </w:r>
      <w:r w:rsidRPr="00571825">
        <w:rPr>
          <w:rFonts w:ascii="Calibri" w:hAnsi="Calibri" w:cs="Calibri"/>
          <w:lang w:val="fr-FR"/>
        </w:rPr>
        <w:t xml:space="preserve"> et la quantité de familles</w:t>
      </w:r>
      <w:r w:rsidR="00A77AB5" w:rsidRPr="00571825">
        <w:rPr>
          <w:rFonts w:ascii="Calibri" w:hAnsi="Calibri" w:cs="Calibri"/>
          <w:lang w:val="fr-FR"/>
        </w:rPr>
        <w:t xml:space="preserve">, </w:t>
      </w:r>
      <w:r w:rsidRPr="00571825">
        <w:rPr>
          <w:rFonts w:ascii="Calibri" w:hAnsi="Calibri" w:cs="Calibri"/>
          <w:lang w:val="fr-FR"/>
        </w:rPr>
        <w:t>ét</w:t>
      </w:r>
      <w:r>
        <w:rPr>
          <w:rFonts w:ascii="Calibri" w:hAnsi="Calibri" w:cs="Calibri"/>
          <w:lang w:val="fr-FR"/>
        </w:rPr>
        <w:t>a</w:t>
      </w:r>
      <w:r w:rsidRPr="00571825">
        <w:rPr>
          <w:rFonts w:ascii="Calibri" w:hAnsi="Calibri" w:cs="Calibri"/>
          <w:lang w:val="fr-FR"/>
        </w:rPr>
        <w:t xml:space="preserve">nt </w:t>
      </w:r>
      <w:r w:rsidR="00A77AB5" w:rsidRPr="00571825">
        <w:rPr>
          <w:rFonts w:ascii="Calibri" w:hAnsi="Calibri" w:cs="Calibri"/>
          <w:lang w:val="fr-FR"/>
        </w:rPr>
        <w:t>positiv</w:t>
      </w:r>
      <w:r>
        <w:rPr>
          <w:rFonts w:ascii="Calibri" w:hAnsi="Calibri" w:cs="Calibri"/>
          <w:lang w:val="fr-FR"/>
        </w:rPr>
        <w:t>e</w:t>
      </w:r>
      <w:r w:rsidR="00A77AB5" w:rsidRPr="00571825">
        <w:rPr>
          <w:rFonts w:ascii="Calibri" w:hAnsi="Calibri" w:cs="Calibri"/>
          <w:lang w:val="fr-FR"/>
        </w:rPr>
        <w:t xml:space="preserve"> quand</w:t>
      </w:r>
      <w:r>
        <w:rPr>
          <w:rFonts w:ascii="Calibri" w:hAnsi="Calibri" w:cs="Calibri"/>
          <w:lang w:val="fr-FR"/>
        </w:rPr>
        <w:t xml:space="preserve"> elle </w:t>
      </w:r>
      <w:r w:rsidR="00A77AB5" w:rsidRPr="00571825">
        <w:rPr>
          <w:rFonts w:ascii="Calibri" w:hAnsi="Calibri" w:cs="Calibri"/>
          <w:lang w:val="fr-FR"/>
        </w:rPr>
        <w:t xml:space="preserve">se </w:t>
      </w:r>
      <w:r w:rsidR="009C1D0C" w:rsidRPr="00571825">
        <w:rPr>
          <w:rFonts w:ascii="Calibri" w:hAnsi="Calibri" w:cs="Calibri"/>
          <w:lang w:val="fr-FR"/>
        </w:rPr>
        <w:t>réfère</w:t>
      </w:r>
      <w:r w:rsidR="00A77AB5" w:rsidRPr="00571825">
        <w:rPr>
          <w:rFonts w:ascii="Calibri" w:hAnsi="Calibri" w:cs="Calibri"/>
          <w:lang w:val="fr-FR"/>
        </w:rPr>
        <w:t xml:space="preserve"> </w:t>
      </w:r>
      <w:r>
        <w:rPr>
          <w:rFonts w:ascii="Calibri" w:hAnsi="Calibri" w:cs="Calibri"/>
          <w:lang w:val="fr-FR"/>
        </w:rPr>
        <w:t>aux familles de</w:t>
      </w:r>
      <w:r w:rsidR="009C1D0C">
        <w:rPr>
          <w:rFonts w:ascii="Calibri" w:hAnsi="Calibri" w:cs="Calibri"/>
          <w:lang w:val="fr-FR"/>
        </w:rPr>
        <w:t xml:space="preserve"> 4 p</w:t>
      </w:r>
      <w:r>
        <w:rPr>
          <w:rFonts w:ascii="Calibri" w:hAnsi="Calibri" w:cs="Calibri"/>
          <w:lang w:val="fr-FR"/>
        </w:rPr>
        <w:t>ersonnes</w:t>
      </w:r>
      <w:r w:rsidR="00A77AB5" w:rsidRPr="00571825">
        <w:rPr>
          <w:rFonts w:ascii="Calibri" w:hAnsi="Calibri" w:cs="Calibri"/>
          <w:lang w:val="fr-FR"/>
        </w:rPr>
        <w:t xml:space="preserve"> e</w:t>
      </w:r>
      <w:r w:rsidR="009C1D0C">
        <w:rPr>
          <w:rFonts w:ascii="Calibri" w:hAnsi="Calibri" w:cs="Calibri"/>
          <w:lang w:val="fr-FR"/>
        </w:rPr>
        <w:t>t</w:t>
      </w:r>
      <w:r w:rsidR="00A77AB5" w:rsidRPr="00571825">
        <w:rPr>
          <w:rFonts w:ascii="Calibri" w:hAnsi="Calibri" w:cs="Calibri"/>
          <w:lang w:val="fr-FR"/>
        </w:rPr>
        <w:t xml:space="preserve"> </w:t>
      </w:r>
      <w:r w:rsidR="009C1D0C" w:rsidRPr="00571825">
        <w:rPr>
          <w:rFonts w:ascii="Calibri" w:hAnsi="Calibri" w:cs="Calibri"/>
          <w:lang w:val="fr-FR"/>
        </w:rPr>
        <w:t>négativ</w:t>
      </w:r>
      <w:r w:rsidR="009C1D0C">
        <w:rPr>
          <w:rFonts w:ascii="Calibri" w:hAnsi="Calibri" w:cs="Calibri"/>
          <w:lang w:val="fr-FR"/>
        </w:rPr>
        <w:t>e</w:t>
      </w:r>
      <w:r w:rsidR="00A77AB5" w:rsidRPr="00571825">
        <w:rPr>
          <w:rFonts w:ascii="Calibri" w:hAnsi="Calibri" w:cs="Calibri"/>
          <w:lang w:val="fr-FR"/>
        </w:rPr>
        <w:t xml:space="preserve"> quand</w:t>
      </w:r>
      <w:r w:rsidR="009C1D0C">
        <w:rPr>
          <w:rFonts w:ascii="Calibri" w:hAnsi="Calibri" w:cs="Calibri"/>
          <w:lang w:val="fr-FR"/>
        </w:rPr>
        <w:t xml:space="preserve"> elle</w:t>
      </w:r>
      <w:r w:rsidR="00A77AB5" w:rsidRPr="00571825">
        <w:rPr>
          <w:rFonts w:ascii="Calibri" w:hAnsi="Calibri" w:cs="Calibri"/>
          <w:lang w:val="fr-FR"/>
        </w:rPr>
        <w:t xml:space="preserve"> </w:t>
      </w:r>
      <w:r w:rsidR="009C1D0C">
        <w:rPr>
          <w:rFonts w:ascii="Calibri" w:hAnsi="Calibri" w:cs="Calibri"/>
          <w:lang w:val="fr-FR"/>
        </w:rPr>
        <w:t xml:space="preserve">se </w:t>
      </w:r>
      <w:r w:rsidR="005962F1">
        <w:rPr>
          <w:rFonts w:ascii="Calibri" w:hAnsi="Calibri" w:cs="Calibri"/>
          <w:lang w:val="fr-FR"/>
        </w:rPr>
        <w:t>restreint</w:t>
      </w:r>
      <w:r w:rsidR="009C1D0C">
        <w:rPr>
          <w:rFonts w:ascii="Calibri" w:hAnsi="Calibri" w:cs="Calibri"/>
          <w:lang w:val="fr-FR"/>
        </w:rPr>
        <w:t xml:space="preserve"> à des</w:t>
      </w:r>
      <w:r w:rsidR="00A77AB5" w:rsidRPr="00571825">
        <w:rPr>
          <w:rFonts w:ascii="Calibri" w:hAnsi="Calibri" w:cs="Calibri"/>
          <w:lang w:val="fr-FR"/>
        </w:rPr>
        <w:t xml:space="preserve"> fam</w:t>
      </w:r>
      <w:r w:rsidR="009C1D0C">
        <w:rPr>
          <w:rFonts w:ascii="Calibri" w:hAnsi="Calibri" w:cs="Calibri"/>
          <w:lang w:val="fr-FR"/>
        </w:rPr>
        <w:t>illes de</w:t>
      </w:r>
      <w:r w:rsidR="00A77AB5" w:rsidRPr="00571825">
        <w:rPr>
          <w:rFonts w:ascii="Calibri" w:hAnsi="Calibri" w:cs="Calibri"/>
          <w:lang w:val="fr-FR"/>
        </w:rPr>
        <w:t xml:space="preserve"> 2 pe</w:t>
      </w:r>
      <w:r w:rsidR="009C1D0C">
        <w:rPr>
          <w:rFonts w:ascii="Calibri" w:hAnsi="Calibri" w:cs="Calibri"/>
          <w:lang w:val="fr-FR"/>
        </w:rPr>
        <w:t>rsonnes</w:t>
      </w:r>
      <w:r w:rsidR="00A77AB5" w:rsidRPr="00571825">
        <w:rPr>
          <w:rFonts w:ascii="Calibri" w:hAnsi="Calibri" w:cs="Calibri"/>
          <w:lang w:val="fr-FR"/>
        </w:rPr>
        <w:t xml:space="preserve">. </w:t>
      </w:r>
      <w:r w:rsidR="009C1D0C" w:rsidRPr="009C1D0C">
        <w:rPr>
          <w:rFonts w:ascii="Calibri" w:hAnsi="Calibri" w:cs="Calibri"/>
          <w:lang w:val="fr-FR"/>
        </w:rPr>
        <w:t>Ce que l’on constate</w:t>
      </w:r>
      <w:r w:rsidR="00A77AB5" w:rsidRPr="009C1D0C">
        <w:rPr>
          <w:rFonts w:ascii="Calibri" w:hAnsi="Calibri" w:cs="Calibri"/>
          <w:lang w:val="fr-FR"/>
        </w:rPr>
        <w:t xml:space="preserve"> quand</w:t>
      </w:r>
      <w:r w:rsidR="009C1D0C" w:rsidRPr="009C1D0C">
        <w:rPr>
          <w:rFonts w:ascii="Calibri" w:hAnsi="Calibri" w:cs="Calibri"/>
          <w:lang w:val="fr-FR"/>
        </w:rPr>
        <w:t xml:space="preserve"> on</w:t>
      </w:r>
      <w:r w:rsidR="00A77AB5" w:rsidRPr="009C1D0C">
        <w:rPr>
          <w:rFonts w:ascii="Calibri" w:hAnsi="Calibri" w:cs="Calibri"/>
          <w:lang w:val="fr-FR"/>
        </w:rPr>
        <w:t xml:space="preserve"> exclu</w:t>
      </w:r>
      <w:r w:rsidR="009C1D0C" w:rsidRPr="009C1D0C">
        <w:rPr>
          <w:rFonts w:ascii="Calibri" w:hAnsi="Calibri" w:cs="Calibri"/>
          <w:lang w:val="fr-FR"/>
        </w:rPr>
        <w:t>t le</w:t>
      </w:r>
      <w:r w:rsidR="00A77AB5" w:rsidRPr="009C1D0C">
        <w:rPr>
          <w:rFonts w:ascii="Calibri" w:hAnsi="Calibri" w:cs="Calibri"/>
          <w:lang w:val="fr-FR"/>
        </w:rPr>
        <w:t>s 4 co</w:t>
      </w:r>
      <w:r w:rsidR="009C1D0C" w:rsidRPr="009C1D0C">
        <w:rPr>
          <w:rFonts w:ascii="Calibri" w:hAnsi="Calibri" w:cs="Calibri"/>
          <w:lang w:val="fr-FR"/>
        </w:rPr>
        <w:t>mmunes les plus peuplées</w:t>
      </w:r>
      <w:r w:rsidR="00A77AB5" w:rsidRPr="009C1D0C">
        <w:rPr>
          <w:rFonts w:ascii="Calibri" w:hAnsi="Calibri" w:cs="Calibri"/>
          <w:lang w:val="fr-FR"/>
        </w:rPr>
        <w:t xml:space="preserve"> </w:t>
      </w:r>
      <w:r w:rsidR="00A77AB5" w:rsidRPr="009C1D0C">
        <w:rPr>
          <w:rFonts w:ascii="Calibri" w:hAnsi="Calibri" w:cs="Calibri"/>
          <w:lang w:val="fr-FR"/>
        </w:rPr>
        <w:lastRenderedPageBreak/>
        <w:t xml:space="preserve">ou </w:t>
      </w:r>
      <w:r w:rsidR="009C1D0C" w:rsidRPr="009C1D0C">
        <w:rPr>
          <w:rFonts w:ascii="Calibri" w:hAnsi="Calibri" w:cs="Calibri"/>
          <w:lang w:val="fr-FR"/>
        </w:rPr>
        <w:t>les</w:t>
      </w:r>
      <w:r w:rsidR="00A77AB5" w:rsidRPr="009C1D0C">
        <w:rPr>
          <w:rFonts w:ascii="Calibri" w:hAnsi="Calibri" w:cs="Calibri"/>
          <w:lang w:val="fr-FR"/>
        </w:rPr>
        <w:t xml:space="preserve"> 22 </w:t>
      </w:r>
      <w:r w:rsidR="009C1D0C">
        <w:rPr>
          <w:rFonts w:ascii="Calibri" w:hAnsi="Calibri" w:cs="Calibri"/>
          <w:lang w:val="fr-FR"/>
        </w:rPr>
        <w:t>également les plus peup</w:t>
      </w:r>
      <w:r w:rsidR="009C1D0C" w:rsidRPr="009C1D0C">
        <w:rPr>
          <w:rFonts w:ascii="Calibri" w:hAnsi="Calibri" w:cs="Calibri"/>
          <w:lang w:val="fr-FR"/>
        </w:rPr>
        <w:t>l</w:t>
      </w:r>
      <w:r w:rsidR="009C1D0C">
        <w:rPr>
          <w:rFonts w:ascii="Calibri" w:hAnsi="Calibri" w:cs="Calibri"/>
          <w:lang w:val="fr-FR"/>
        </w:rPr>
        <w:t>ées</w:t>
      </w:r>
      <w:r w:rsidR="00A77AB5" w:rsidRPr="009C1D0C">
        <w:rPr>
          <w:rFonts w:ascii="Calibri" w:hAnsi="Calibri" w:cs="Calibri"/>
          <w:lang w:val="fr-FR"/>
        </w:rPr>
        <w:t xml:space="preserve">. </w:t>
      </w:r>
      <w:r w:rsidR="009C1D0C" w:rsidRPr="009C1D0C">
        <w:rPr>
          <w:rFonts w:ascii="Calibri" w:hAnsi="Calibri" w:cs="Calibri"/>
          <w:lang w:val="fr-FR"/>
        </w:rPr>
        <w:t xml:space="preserve">N’étant </w:t>
      </w:r>
      <w:r w:rsidR="009C1D0C">
        <w:rPr>
          <w:rFonts w:ascii="Calibri" w:hAnsi="Calibri" w:cs="Calibri"/>
          <w:lang w:val="fr-FR"/>
        </w:rPr>
        <w:t>en aucun cas significative quan</w:t>
      </w:r>
      <w:r w:rsidR="009C1D0C" w:rsidRPr="009C1D0C">
        <w:rPr>
          <w:rFonts w:ascii="Calibri" w:hAnsi="Calibri" w:cs="Calibri"/>
          <w:lang w:val="fr-FR"/>
        </w:rPr>
        <w:t>d</w:t>
      </w:r>
      <w:r w:rsidR="009C1D0C">
        <w:rPr>
          <w:rFonts w:ascii="Calibri" w:hAnsi="Calibri" w:cs="Calibri"/>
          <w:lang w:val="fr-FR"/>
        </w:rPr>
        <w:t xml:space="preserve"> </w:t>
      </w:r>
      <w:r w:rsidR="009C1D0C" w:rsidRPr="009C1D0C">
        <w:rPr>
          <w:rFonts w:ascii="Calibri" w:hAnsi="Calibri" w:cs="Calibri"/>
          <w:lang w:val="fr-FR"/>
        </w:rPr>
        <w:t>o</w:t>
      </w:r>
      <w:r w:rsidR="009C1D0C">
        <w:rPr>
          <w:rFonts w:ascii="Calibri" w:hAnsi="Calibri" w:cs="Calibri"/>
          <w:lang w:val="fr-FR"/>
        </w:rPr>
        <w:t>n</w:t>
      </w:r>
      <w:r w:rsidR="009C1D0C" w:rsidRPr="009C1D0C">
        <w:rPr>
          <w:rFonts w:ascii="Calibri" w:hAnsi="Calibri" w:cs="Calibri"/>
          <w:lang w:val="fr-FR"/>
        </w:rPr>
        <w:t xml:space="preserve"> considère les 22 communes les plus peuplées</w:t>
      </w:r>
      <w:r w:rsidR="00A77AB5" w:rsidRPr="009C1D0C">
        <w:rPr>
          <w:rFonts w:ascii="Calibri" w:hAnsi="Calibri" w:cs="Calibri"/>
          <w:lang w:val="fr-FR"/>
        </w:rPr>
        <w:t xml:space="preserve">. </w:t>
      </w:r>
    </w:p>
    <w:p w14:paraId="2473D254" w14:textId="77777777" w:rsidR="00A77AB5" w:rsidRPr="005962F1" w:rsidRDefault="009C1D0C" w:rsidP="00A77AB5">
      <w:pPr>
        <w:jc w:val="both"/>
        <w:rPr>
          <w:rFonts w:asciiTheme="majorHAnsi" w:hAnsiTheme="majorHAnsi"/>
          <w:lang w:val="fr-FR"/>
        </w:rPr>
      </w:pPr>
      <w:r w:rsidRPr="009C1D0C">
        <w:rPr>
          <w:rFonts w:ascii="Calibri" w:hAnsi="Calibri" w:cs="Calibri"/>
          <w:lang w:val="fr-FR"/>
        </w:rPr>
        <w:t>Seuls les ménages composés d’</w:t>
      </w:r>
      <w:r w:rsidR="005962F1">
        <w:rPr>
          <w:rFonts w:ascii="Calibri" w:hAnsi="Calibri" w:cs="Calibri"/>
          <w:lang w:val="fr-FR"/>
        </w:rPr>
        <w:t>une personne</w:t>
      </w:r>
      <w:r w:rsidRPr="009C1D0C">
        <w:rPr>
          <w:rFonts w:ascii="Calibri" w:hAnsi="Calibri" w:cs="Calibri"/>
          <w:lang w:val="fr-FR"/>
        </w:rPr>
        <w:t xml:space="preserve"> </w:t>
      </w:r>
      <w:r w:rsidR="007621FB">
        <w:rPr>
          <w:rFonts w:ascii="Calibri" w:hAnsi="Calibri" w:cs="Calibri"/>
          <w:lang w:val="fr-FR"/>
        </w:rPr>
        <w:t>r</w:t>
      </w:r>
      <w:r w:rsidRPr="007621FB">
        <w:rPr>
          <w:rFonts w:ascii="Calibri" w:hAnsi="Calibri" w:cs="Calibri"/>
          <w:lang w:val="fr-FR"/>
        </w:rPr>
        <w:t>eportent</w:t>
      </w:r>
      <w:r w:rsidRPr="005962F1">
        <w:rPr>
          <w:rFonts w:ascii="Calibri" w:hAnsi="Calibri" w:cs="Calibri"/>
          <w:lang w:val="fr-FR"/>
        </w:rPr>
        <w:t xml:space="preserve"> une association significative, même si elle est faible, avec le </w:t>
      </w:r>
      <w:r w:rsidR="00F95C48" w:rsidRPr="005962F1">
        <w:rPr>
          <w:rFonts w:ascii="Calibri" w:hAnsi="Calibri" w:cs="Calibri"/>
          <w:lang w:val="fr-FR"/>
        </w:rPr>
        <w:t>pourcentage</w:t>
      </w:r>
      <w:r w:rsidRPr="005962F1">
        <w:rPr>
          <w:rFonts w:ascii="Calibri" w:hAnsi="Calibri" w:cs="Calibri"/>
          <w:lang w:val="fr-FR"/>
        </w:rPr>
        <w:t xml:space="preserve"> de personnes venues de l’étranger</w:t>
      </w:r>
      <w:r w:rsidR="005962F1" w:rsidRPr="005962F1">
        <w:rPr>
          <w:rFonts w:ascii="Calibri" w:hAnsi="Calibri" w:cs="Calibri"/>
          <w:lang w:val="fr-FR"/>
        </w:rPr>
        <w:t xml:space="preserve"> (cette association étant positive)</w:t>
      </w:r>
      <w:r w:rsidR="00A77AB5" w:rsidRPr="005962F1">
        <w:rPr>
          <w:rFonts w:ascii="Calibri" w:hAnsi="Calibri" w:cs="Calibri"/>
          <w:lang w:val="fr-FR"/>
        </w:rPr>
        <w:t>.</w:t>
      </w:r>
    </w:p>
    <w:p w14:paraId="0A58A7B3" w14:textId="77777777" w:rsidR="00A77AB5" w:rsidRPr="005962F1" w:rsidRDefault="00A77AB5" w:rsidP="00A77AB5">
      <w:pPr>
        <w:jc w:val="both"/>
        <w:rPr>
          <w:rFonts w:asciiTheme="majorHAnsi" w:hAnsiTheme="majorHAnsi"/>
          <w:lang w:val="fr-FR"/>
        </w:rPr>
      </w:pPr>
    </w:p>
    <w:p w14:paraId="062646F0" w14:textId="77777777" w:rsidR="00A77AB5" w:rsidRDefault="00A77AB5" w:rsidP="00A77AB5">
      <w:pPr>
        <w:spacing w:after="120"/>
        <w:jc w:val="both"/>
        <w:rPr>
          <w:rFonts w:asciiTheme="majorHAnsi" w:hAnsiTheme="majorHAnsi"/>
          <w:lang w:val="fr-FR"/>
        </w:rPr>
      </w:pPr>
    </w:p>
    <w:p w14:paraId="057C0E8D" w14:textId="77777777" w:rsidR="00D30A97" w:rsidRPr="00C54560" w:rsidRDefault="00D30A97" w:rsidP="00D30A97">
      <w:pPr>
        <w:spacing w:after="120"/>
        <w:jc w:val="both"/>
        <w:rPr>
          <w:rFonts w:asciiTheme="majorHAnsi" w:hAnsiTheme="majorHAnsi"/>
          <w:lang w:val="fr-FR"/>
        </w:rPr>
      </w:pPr>
      <w:r w:rsidRPr="00C54560">
        <w:rPr>
          <w:rFonts w:asciiTheme="majorHAnsi" w:hAnsiTheme="majorHAnsi"/>
          <w:lang w:val="fr-FR"/>
        </w:rPr>
        <w:t xml:space="preserve">Conclusion </w:t>
      </w:r>
    </w:p>
    <w:p w14:paraId="0346F4E5" w14:textId="77777777" w:rsidR="00D30A97" w:rsidRPr="000004E4" w:rsidRDefault="00D30A97" w:rsidP="007621FB">
      <w:pPr>
        <w:spacing w:after="120"/>
        <w:jc w:val="both"/>
        <w:rPr>
          <w:rFonts w:asciiTheme="majorHAnsi" w:hAnsiTheme="majorHAnsi"/>
          <w:lang w:val="fr-FR"/>
        </w:rPr>
      </w:pPr>
      <w:r w:rsidRPr="00D20E3A">
        <w:rPr>
          <w:rFonts w:asciiTheme="majorHAnsi" w:hAnsiTheme="majorHAnsi"/>
          <w:lang w:val="fr-FR"/>
        </w:rPr>
        <w:t xml:space="preserve">La tendance </w:t>
      </w:r>
      <w:r>
        <w:rPr>
          <w:rFonts w:asciiTheme="majorHAnsi" w:hAnsiTheme="majorHAnsi"/>
          <w:lang w:val="fr-FR"/>
        </w:rPr>
        <w:t>à la</w:t>
      </w:r>
      <w:r w:rsidRPr="00D20E3A">
        <w:rPr>
          <w:rFonts w:asciiTheme="majorHAnsi" w:hAnsiTheme="majorHAnsi"/>
          <w:lang w:val="fr-FR"/>
        </w:rPr>
        <w:t xml:space="preserve"> concentration et la forme dont les familles se déplacent et se distribuent</w:t>
      </w:r>
      <w:r>
        <w:rPr>
          <w:rFonts w:asciiTheme="majorHAnsi" w:hAnsiTheme="majorHAnsi"/>
          <w:lang w:val="fr-FR"/>
        </w:rPr>
        <w:t>,</w:t>
      </w:r>
      <w:r w:rsidRPr="00D20E3A">
        <w:rPr>
          <w:rFonts w:asciiTheme="majorHAnsi" w:hAnsiTheme="majorHAnsi"/>
          <w:lang w:val="fr-FR"/>
        </w:rPr>
        <w:t xml:space="preserve"> </w:t>
      </w:r>
      <w:proofErr w:type="gramStart"/>
      <w:r w:rsidRPr="00D20E3A">
        <w:rPr>
          <w:rFonts w:asciiTheme="majorHAnsi" w:hAnsiTheme="majorHAnsi"/>
          <w:lang w:val="fr-FR"/>
        </w:rPr>
        <w:t>suscite</w:t>
      </w:r>
      <w:r>
        <w:rPr>
          <w:rFonts w:asciiTheme="majorHAnsi" w:hAnsiTheme="majorHAnsi"/>
          <w:lang w:val="fr-FR"/>
        </w:rPr>
        <w:t>nt</w:t>
      </w:r>
      <w:proofErr w:type="gramEnd"/>
      <w:r>
        <w:rPr>
          <w:rFonts w:asciiTheme="majorHAnsi" w:hAnsiTheme="majorHAnsi"/>
          <w:lang w:val="fr-FR"/>
        </w:rPr>
        <w:t xml:space="preserve"> une</w:t>
      </w:r>
      <w:r w:rsidRPr="00D20E3A">
        <w:rPr>
          <w:rFonts w:asciiTheme="majorHAnsi" w:hAnsiTheme="majorHAnsi"/>
          <w:lang w:val="fr-FR"/>
        </w:rPr>
        <w:t xml:space="preserve"> série de questions</w:t>
      </w:r>
      <w:r w:rsidRPr="007621FB">
        <w:rPr>
          <w:rFonts w:asciiTheme="majorHAnsi" w:hAnsiTheme="majorHAnsi"/>
          <w:lang w:val="fr-FR"/>
        </w:rPr>
        <w:t>. Tout d’abord,</w:t>
      </w:r>
      <w:r w:rsidRPr="00D20E3A">
        <w:rPr>
          <w:rFonts w:asciiTheme="majorHAnsi" w:hAnsiTheme="majorHAnsi"/>
          <w:lang w:val="fr-FR"/>
        </w:rPr>
        <w:t xml:space="preserve"> le besoin de penser et recentrer la dimension de la famille dans l’analyse de la mobilité au Portugal.</w:t>
      </w:r>
      <w:r>
        <w:rPr>
          <w:rFonts w:asciiTheme="majorHAnsi" w:hAnsiTheme="majorHAnsi"/>
          <w:lang w:val="fr-FR"/>
        </w:rPr>
        <w:t xml:space="preserve"> </w:t>
      </w:r>
      <w:r w:rsidR="007621FB" w:rsidRPr="007621FB">
        <w:rPr>
          <w:rFonts w:asciiTheme="majorHAnsi" w:hAnsiTheme="majorHAnsi"/>
          <w:lang w:val="fr-FR"/>
        </w:rPr>
        <w:t>D</w:t>
      </w:r>
      <w:r w:rsidRPr="007621FB">
        <w:rPr>
          <w:rFonts w:asciiTheme="majorHAnsi" w:hAnsiTheme="majorHAnsi"/>
          <w:lang w:val="fr-FR"/>
        </w:rPr>
        <w:t>euxièmement,</w:t>
      </w:r>
      <w:r w:rsidRPr="00D20E3A">
        <w:rPr>
          <w:rFonts w:asciiTheme="majorHAnsi" w:hAnsiTheme="majorHAnsi"/>
          <w:lang w:val="fr-FR"/>
        </w:rPr>
        <w:t xml:space="preserve"> la n</w:t>
      </w:r>
      <w:r>
        <w:rPr>
          <w:rFonts w:asciiTheme="majorHAnsi" w:hAnsiTheme="majorHAnsi"/>
          <w:lang w:val="fr-FR"/>
        </w:rPr>
        <w:t>é</w:t>
      </w:r>
      <w:r w:rsidRPr="00D20E3A">
        <w:rPr>
          <w:rFonts w:asciiTheme="majorHAnsi" w:hAnsiTheme="majorHAnsi"/>
          <w:lang w:val="fr-FR"/>
        </w:rPr>
        <w:t xml:space="preserve">cessité d’équilibrer l’intervention politique à différents niveaux, dans le </w:t>
      </w:r>
      <w:r>
        <w:rPr>
          <w:rFonts w:asciiTheme="majorHAnsi" w:hAnsiTheme="majorHAnsi"/>
          <w:lang w:val="fr-FR"/>
        </w:rPr>
        <w:t>but</w:t>
      </w:r>
      <w:r w:rsidRPr="00D20E3A">
        <w:rPr>
          <w:rFonts w:asciiTheme="majorHAnsi" w:hAnsiTheme="majorHAnsi"/>
          <w:lang w:val="fr-FR"/>
        </w:rPr>
        <w:t xml:space="preserve"> de répondre aux</w:t>
      </w:r>
      <w:r>
        <w:rPr>
          <w:rFonts w:asciiTheme="majorHAnsi" w:hAnsiTheme="majorHAnsi"/>
          <w:lang w:val="fr-FR"/>
        </w:rPr>
        <w:t xml:space="preserve"> </w:t>
      </w:r>
      <w:r w:rsidRPr="00D20E3A">
        <w:rPr>
          <w:rFonts w:asciiTheme="majorHAnsi" w:hAnsiTheme="majorHAnsi"/>
          <w:lang w:val="fr-FR"/>
        </w:rPr>
        <w:t>attentes individuelles et collectives subjacentes</w:t>
      </w:r>
      <w:r w:rsidRPr="00AA7A17">
        <w:rPr>
          <w:rFonts w:asciiTheme="majorHAnsi" w:hAnsiTheme="majorHAnsi"/>
          <w:lang w:val="fr-FR"/>
        </w:rPr>
        <w:t xml:space="preserve"> </w:t>
      </w:r>
      <w:r w:rsidR="000503D9" w:rsidRPr="00AA7A17">
        <w:rPr>
          <w:rFonts w:asciiTheme="majorHAnsi" w:hAnsiTheme="majorHAnsi"/>
          <w:lang w:val="fr-FR"/>
        </w:rPr>
        <w:t>à</w:t>
      </w:r>
      <w:r w:rsidRPr="00D20E3A">
        <w:rPr>
          <w:rFonts w:asciiTheme="majorHAnsi" w:hAnsiTheme="majorHAnsi"/>
          <w:lang w:val="fr-FR"/>
        </w:rPr>
        <w:t xml:space="preserve"> cette mobilit</w:t>
      </w:r>
      <w:r>
        <w:rPr>
          <w:rFonts w:asciiTheme="majorHAnsi" w:hAnsiTheme="majorHAnsi"/>
          <w:lang w:val="fr-FR"/>
        </w:rPr>
        <w:t>é</w:t>
      </w:r>
      <w:r w:rsidR="002C1A6C">
        <w:rPr>
          <w:rFonts w:asciiTheme="majorHAnsi" w:hAnsiTheme="majorHAnsi"/>
          <w:lang w:val="fr-FR"/>
        </w:rPr>
        <w:t>.</w:t>
      </w:r>
      <w:r w:rsidRPr="00D20E3A">
        <w:rPr>
          <w:rFonts w:asciiTheme="majorHAnsi" w:hAnsiTheme="majorHAnsi"/>
          <w:lang w:val="fr-FR"/>
        </w:rPr>
        <w:t xml:space="preserve"> </w:t>
      </w:r>
      <w:r w:rsidRPr="0075144A">
        <w:rPr>
          <w:rFonts w:asciiTheme="majorHAnsi" w:hAnsiTheme="majorHAnsi"/>
          <w:lang w:val="fr-FR"/>
        </w:rPr>
        <w:t>Ainsi et étant donné que ce sont</w:t>
      </w:r>
      <w:r>
        <w:rPr>
          <w:rFonts w:asciiTheme="majorHAnsi" w:hAnsiTheme="majorHAnsi"/>
          <w:lang w:val="fr-FR"/>
        </w:rPr>
        <w:t xml:space="preserve"> </w:t>
      </w:r>
      <w:r w:rsidRPr="0075144A">
        <w:rPr>
          <w:rFonts w:asciiTheme="majorHAnsi" w:hAnsiTheme="majorHAnsi"/>
          <w:lang w:val="fr-FR"/>
        </w:rPr>
        <w:t xml:space="preserve">les municipalités ayant un plus faible volume de population qui finissent par stimuler la mobilité de la famille, </w:t>
      </w:r>
      <w:r w:rsidR="002C1A6C">
        <w:rPr>
          <w:rFonts w:asciiTheme="majorHAnsi" w:hAnsiTheme="majorHAnsi"/>
          <w:lang w:val="fr-FR"/>
        </w:rPr>
        <w:t>alors que le plus grand volume (</w:t>
      </w:r>
      <w:r w:rsidRPr="0075144A">
        <w:rPr>
          <w:rFonts w:asciiTheme="majorHAnsi" w:hAnsiTheme="majorHAnsi"/>
          <w:lang w:val="fr-FR"/>
        </w:rPr>
        <w:t>populationnel)</w:t>
      </w:r>
      <w:r>
        <w:rPr>
          <w:rFonts w:asciiTheme="majorHAnsi" w:hAnsiTheme="majorHAnsi"/>
          <w:lang w:val="fr-FR"/>
        </w:rPr>
        <w:t xml:space="preserve"> tend à retenir davantage la population, les profonds déséquilibres dans la distribution populationnelle tendront à </w:t>
      </w:r>
      <w:r w:rsidRPr="002C1A6C">
        <w:rPr>
          <w:rFonts w:asciiTheme="majorHAnsi" w:hAnsiTheme="majorHAnsi"/>
          <w:lang w:val="fr-FR"/>
        </w:rPr>
        <w:t>se poursuivre,</w:t>
      </w:r>
      <w:r w:rsidRPr="0075144A">
        <w:rPr>
          <w:rFonts w:asciiTheme="majorHAnsi" w:hAnsiTheme="majorHAnsi"/>
          <w:lang w:val="fr-FR"/>
        </w:rPr>
        <w:t xml:space="preserve"> face</w:t>
      </w:r>
      <w:r>
        <w:rPr>
          <w:rFonts w:asciiTheme="majorHAnsi" w:hAnsiTheme="majorHAnsi"/>
          <w:lang w:val="fr-FR"/>
        </w:rPr>
        <w:t xml:space="preserve"> au manque d’intervention </w:t>
      </w:r>
      <w:r w:rsidRPr="002C1A6C">
        <w:rPr>
          <w:rFonts w:asciiTheme="majorHAnsi" w:hAnsiTheme="majorHAnsi"/>
          <w:lang w:val="fr-FR"/>
        </w:rPr>
        <w:t>dans ces domaines</w:t>
      </w:r>
      <w:r>
        <w:rPr>
          <w:rFonts w:asciiTheme="majorHAnsi" w:hAnsiTheme="majorHAnsi"/>
          <w:lang w:val="fr-FR"/>
        </w:rPr>
        <w:t>.</w:t>
      </w:r>
      <w:r w:rsidRPr="0075144A">
        <w:rPr>
          <w:rFonts w:asciiTheme="majorHAnsi" w:hAnsiTheme="majorHAnsi"/>
          <w:lang w:val="fr-FR"/>
        </w:rPr>
        <w:t xml:space="preserve"> </w:t>
      </w:r>
      <w:r w:rsidRPr="000004E4">
        <w:rPr>
          <w:rFonts w:asciiTheme="majorHAnsi" w:hAnsiTheme="majorHAnsi"/>
          <w:lang w:val="fr-FR"/>
        </w:rPr>
        <w:t xml:space="preserve">Mais ce déséquilibre territorial, </w:t>
      </w:r>
      <w:r w:rsidR="000503D9" w:rsidRPr="00AA7A17">
        <w:rPr>
          <w:rFonts w:asciiTheme="majorHAnsi" w:hAnsiTheme="majorHAnsi"/>
          <w:lang w:val="fr-FR"/>
        </w:rPr>
        <w:t>tenant en</w:t>
      </w:r>
      <w:r w:rsidRPr="000004E4">
        <w:rPr>
          <w:rFonts w:asciiTheme="majorHAnsi" w:hAnsiTheme="majorHAnsi"/>
          <w:lang w:val="fr-FR"/>
        </w:rPr>
        <w:t xml:space="preserve"> compte la structure familiale de la mobilité, refl</w:t>
      </w:r>
      <w:r>
        <w:rPr>
          <w:rFonts w:asciiTheme="majorHAnsi" w:hAnsiTheme="majorHAnsi"/>
          <w:lang w:val="fr-FR"/>
        </w:rPr>
        <w:t>è</w:t>
      </w:r>
      <w:r w:rsidRPr="000004E4">
        <w:rPr>
          <w:rFonts w:asciiTheme="majorHAnsi" w:hAnsiTheme="majorHAnsi"/>
          <w:lang w:val="fr-FR"/>
        </w:rPr>
        <w:t>te également le déséquilibre de la dynamique de la p</w:t>
      </w:r>
      <w:r>
        <w:rPr>
          <w:rFonts w:asciiTheme="majorHAnsi" w:hAnsiTheme="majorHAnsi"/>
          <w:lang w:val="fr-FR"/>
        </w:rPr>
        <w:t>o</w:t>
      </w:r>
      <w:r w:rsidRPr="000004E4">
        <w:rPr>
          <w:rFonts w:asciiTheme="majorHAnsi" w:hAnsiTheme="majorHAnsi"/>
          <w:lang w:val="fr-FR"/>
        </w:rPr>
        <w:t>pulation portugaise:</w:t>
      </w:r>
      <w:r>
        <w:rPr>
          <w:rFonts w:asciiTheme="majorHAnsi" w:hAnsiTheme="majorHAnsi"/>
          <w:lang w:val="fr-FR"/>
        </w:rPr>
        <w:t xml:space="preserve"> </w:t>
      </w:r>
      <w:r w:rsidRPr="000004E4">
        <w:rPr>
          <w:rFonts w:asciiTheme="majorHAnsi" w:hAnsiTheme="majorHAnsi"/>
          <w:lang w:val="fr-FR"/>
        </w:rPr>
        <w:t xml:space="preserve">un plus grand vieillissement </w:t>
      </w:r>
      <w:r>
        <w:rPr>
          <w:rFonts w:asciiTheme="majorHAnsi" w:hAnsiTheme="majorHAnsi"/>
          <w:lang w:val="fr-FR"/>
        </w:rPr>
        <w:t xml:space="preserve">hors des grands agglomérats par rapport </w:t>
      </w:r>
      <w:r w:rsidRPr="000004E4">
        <w:rPr>
          <w:rFonts w:asciiTheme="majorHAnsi" w:hAnsiTheme="majorHAnsi"/>
          <w:lang w:val="fr-FR"/>
        </w:rPr>
        <w:t xml:space="preserve"> </w:t>
      </w:r>
      <w:r>
        <w:rPr>
          <w:rFonts w:asciiTheme="majorHAnsi" w:hAnsiTheme="majorHAnsi"/>
          <w:lang w:val="fr-FR"/>
        </w:rPr>
        <w:t>à</w:t>
      </w:r>
      <w:r w:rsidRPr="000004E4">
        <w:rPr>
          <w:rFonts w:asciiTheme="majorHAnsi" w:hAnsiTheme="majorHAnsi"/>
          <w:lang w:val="fr-FR"/>
        </w:rPr>
        <w:t xml:space="preserve"> </w:t>
      </w:r>
      <w:r>
        <w:rPr>
          <w:rFonts w:asciiTheme="majorHAnsi" w:hAnsiTheme="majorHAnsi"/>
          <w:lang w:val="fr-FR"/>
        </w:rPr>
        <w:t xml:space="preserve">la plus grande vitalité </w:t>
      </w:r>
      <w:r w:rsidR="000503D9" w:rsidRPr="00AA7A17">
        <w:rPr>
          <w:rFonts w:asciiTheme="majorHAnsi" w:hAnsiTheme="majorHAnsi"/>
          <w:lang w:val="fr-FR"/>
        </w:rPr>
        <w:t xml:space="preserve">parmi </w:t>
      </w:r>
      <w:r w:rsidRPr="00AA7A17">
        <w:rPr>
          <w:rFonts w:asciiTheme="majorHAnsi" w:hAnsiTheme="majorHAnsi"/>
          <w:lang w:val="fr-FR"/>
        </w:rPr>
        <w:t xml:space="preserve">les </w:t>
      </w:r>
      <w:r w:rsidRPr="00AA7A17">
        <w:rPr>
          <w:rFonts w:asciiTheme="majorHAnsi" w:hAnsiTheme="majorHAnsi"/>
          <w:sz w:val="22"/>
          <w:szCs w:val="22"/>
          <w:lang w:val="fr-FR"/>
        </w:rPr>
        <w:t>municipalités</w:t>
      </w:r>
      <w:r w:rsidR="000503D9" w:rsidRPr="00AA7A17">
        <w:rPr>
          <w:rFonts w:asciiTheme="majorHAnsi" w:hAnsiTheme="majorHAnsi"/>
          <w:sz w:val="22"/>
          <w:szCs w:val="22"/>
          <w:lang w:val="fr-FR"/>
        </w:rPr>
        <w:t xml:space="preserve"> moyennement</w:t>
      </w:r>
      <w:r w:rsidRPr="00AA7A17">
        <w:rPr>
          <w:rFonts w:asciiTheme="majorHAnsi" w:hAnsiTheme="majorHAnsi"/>
          <w:lang w:val="fr-FR"/>
        </w:rPr>
        <w:t xml:space="preserve"> peuplées, mais pas nécessairement celles qui</w:t>
      </w:r>
      <w:r>
        <w:rPr>
          <w:rFonts w:asciiTheme="majorHAnsi" w:hAnsiTheme="majorHAnsi"/>
          <w:lang w:val="fr-FR"/>
        </w:rPr>
        <w:t xml:space="preserve"> sont les plus peuplées</w:t>
      </w:r>
      <w:r w:rsidRPr="000004E4">
        <w:rPr>
          <w:rFonts w:asciiTheme="majorHAnsi" w:hAnsiTheme="majorHAnsi"/>
          <w:lang w:val="fr-FR"/>
        </w:rPr>
        <w:t xml:space="preserve">. </w:t>
      </w:r>
    </w:p>
    <w:p w14:paraId="542D951C" w14:textId="77777777" w:rsidR="00D30A97" w:rsidRPr="00E500E4" w:rsidRDefault="00D30A97" w:rsidP="007621FB">
      <w:pPr>
        <w:spacing w:after="120"/>
        <w:jc w:val="both"/>
        <w:rPr>
          <w:rFonts w:asciiTheme="majorHAnsi" w:hAnsiTheme="majorHAnsi"/>
          <w:lang w:val="fr-FR"/>
        </w:rPr>
      </w:pPr>
      <w:r w:rsidRPr="00290F95">
        <w:rPr>
          <w:rFonts w:asciiTheme="majorHAnsi" w:hAnsiTheme="majorHAnsi"/>
          <w:lang w:val="fr-FR"/>
        </w:rPr>
        <w:t xml:space="preserve">Complémentairement, il </w:t>
      </w:r>
      <w:r w:rsidR="00CE76F2" w:rsidRPr="00AA7A17">
        <w:rPr>
          <w:rFonts w:asciiTheme="majorHAnsi" w:hAnsiTheme="majorHAnsi"/>
          <w:lang w:val="fr-FR"/>
        </w:rPr>
        <w:t xml:space="preserve">sera important </w:t>
      </w:r>
      <w:r w:rsidRPr="00AA7A17">
        <w:rPr>
          <w:rFonts w:asciiTheme="majorHAnsi" w:hAnsiTheme="majorHAnsi"/>
          <w:lang w:val="fr-FR"/>
        </w:rPr>
        <w:t xml:space="preserve">de chercher à comprendre la logique de cette mobilité une fois que </w:t>
      </w:r>
      <w:r w:rsidR="00CE76F2" w:rsidRPr="00AA7A17">
        <w:rPr>
          <w:rFonts w:asciiTheme="majorHAnsi" w:hAnsiTheme="majorHAnsi"/>
          <w:lang w:val="fr-FR"/>
        </w:rPr>
        <w:t xml:space="preserve">quand </w:t>
      </w:r>
      <w:r w:rsidRPr="00AA7A17">
        <w:rPr>
          <w:rFonts w:asciiTheme="majorHAnsi" w:hAnsiTheme="majorHAnsi"/>
          <w:lang w:val="fr-FR"/>
        </w:rPr>
        <w:t>on r</w:t>
      </w:r>
      <w:r w:rsidRPr="00290F95">
        <w:rPr>
          <w:rFonts w:asciiTheme="majorHAnsi" w:hAnsiTheme="majorHAnsi"/>
          <w:lang w:val="fr-FR"/>
        </w:rPr>
        <w:t xml:space="preserve">etire les 4 communes ayant le plus </w:t>
      </w:r>
      <w:r>
        <w:rPr>
          <w:rFonts w:asciiTheme="majorHAnsi" w:hAnsiTheme="majorHAnsi"/>
          <w:lang w:val="fr-FR"/>
        </w:rPr>
        <w:t>important</w:t>
      </w:r>
      <w:r w:rsidRPr="00290F95">
        <w:rPr>
          <w:rFonts w:asciiTheme="majorHAnsi" w:hAnsiTheme="majorHAnsi"/>
          <w:lang w:val="fr-FR"/>
        </w:rPr>
        <w:t xml:space="preserve"> volume de population (Lisbonne, Porto, Sintra et Vila Nova de Gaia) </w:t>
      </w:r>
      <w:r>
        <w:rPr>
          <w:rFonts w:asciiTheme="majorHAnsi" w:hAnsiTheme="majorHAnsi"/>
          <w:lang w:val="fr-FR"/>
        </w:rPr>
        <w:t>ce qui</w:t>
      </w:r>
      <w:r w:rsidRPr="00290F95">
        <w:rPr>
          <w:rFonts w:asciiTheme="majorHAnsi" w:hAnsiTheme="majorHAnsi"/>
          <w:lang w:val="fr-FR"/>
        </w:rPr>
        <w:t xml:space="preserve"> émerge, de l’analyse,</w:t>
      </w:r>
      <w:r>
        <w:rPr>
          <w:rFonts w:asciiTheme="majorHAnsi" w:hAnsiTheme="majorHAnsi"/>
          <w:lang w:val="fr-FR"/>
        </w:rPr>
        <w:t xml:space="preserve"> c’est</w:t>
      </w:r>
      <w:r w:rsidRPr="00290F95">
        <w:rPr>
          <w:rFonts w:asciiTheme="majorHAnsi" w:hAnsiTheme="majorHAnsi"/>
          <w:lang w:val="fr-FR"/>
        </w:rPr>
        <w:t xml:space="preserve"> que l’au</w:t>
      </w:r>
      <w:r>
        <w:rPr>
          <w:rFonts w:asciiTheme="majorHAnsi" w:hAnsiTheme="majorHAnsi"/>
          <w:lang w:val="fr-FR"/>
        </w:rPr>
        <w:t>g</w:t>
      </w:r>
      <w:r w:rsidRPr="00290F95">
        <w:rPr>
          <w:rFonts w:asciiTheme="majorHAnsi" w:hAnsiTheme="majorHAnsi"/>
          <w:lang w:val="fr-FR"/>
        </w:rPr>
        <w:t>mentation de la dimen</w:t>
      </w:r>
      <w:r>
        <w:rPr>
          <w:rFonts w:asciiTheme="majorHAnsi" w:hAnsiTheme="majorHAnsi"/>
          <w:lang w:val="fr-FR"/>
        </w:rPr>
        <w:t>sion</w:t>
      </w:r>
      <w:r w:rsidRPr="00290F95">
        <w:rPr>
          <w:rFonts w:asciiTheme="majorHAnsi" w:hAnsiTheme="majorHAnsi"/>
          <w:lang w:val="fr-FR"/>
        </w:rPr>
        <w:t xml:space="preserve"> m</w:t>
      </w:r>
      <w:r>
        <w:rPr>
          <w:rFonts w:asciiTheme="majorHAnsi" w:hAnsiTheme="majorHAnsi"/>
          <w:lang w:val="fr-FR"/>
        </w:rPr>
        <w:t>oyenne</w:t>
      </w:r>
      <w:r w:rsidRPr="00290F95">
        <w:rPr>
          <w:rFonts w:asciiTheme="majorHAnsi" w:hAnsiTheme="majorHAnsi"/>
          <w:lang w:val="fr-FR"/>
        </w:rPr>
        <w:t xml:space="preserve"> d</w:t>
      </w:r>
      <w:r>
        <w:rPr>
          <w:rFonts w:asciiTheme="majorHAnsi" w:hAnsiTheme="majorHAnsi"/>
          <w:lang w:val="fr-FR"/>
        </w:rPr>
        <w:t>e la famille</w:t>
      </w:r>
      <w:r w:rsidRPr="00290F95">
        <w:rPr>
          <w:rFonts w:asciiTheme="majorHAnsi" w:hAnsiTheme="majorHAnsi"/>
          <w:lang w:val="fr-FR"/>
        </w:rPr>
        <w:t xml:space="preserve"> </w:t>
      </w:r>
      <w:r>
        <w:rPr>
          <w:rFonts w:asciiTheme="majorHAnsi" w:hAnsiTheme="majorHAnsi"/>
          <w:lang w:val="fr-FR"/>
        </w:rPr>
        <w:t xml:space="preserve">conduit à une plus grande permanence dans la municipalité de résidence </w:t>
      </w:r>
      <w:r w:rsidRPr="00290F95">
        <w:rPr>
          <w:rFonts w:asciiTheme="majorHAnsi" w:hAnsiTheme="majorHAnsi"/>
          <w:lang w:val="fr-FR"/>
        </w:rPr>
        <w:t>e</w:t>
      </w:r>
      <w:r>
        <w:rPr>
          <w:rFonts w:asciiTheme="majorHAnsi" w:hAnsiTheme="majorHAnsi"/>
          <w:lang w:val="fr-FR"/>
        </w:rPr>
        <w:t>t que l’on note également une plus grande variation de familles avec des jeunes.</w:t>
      </w:r>
      <w:r w:rsidRPr="00E500E4">
        <w:rPr>
          <w:rFonts w:asciiTheme="majorHAnsi" w:hAnsiTheme="majorHAnsi"/>
          <w:lang w:val="fr-FR"/>
        </w:rPr>
        <w:t xml:space="preserve"> </w:t>
      </w:r>
    </w:p>
    <w:p w14:paraId="73BE3B8C" w14:textId="77777777" w:rsidR="00D30A97" w:rsidRPr="00087E07" w:rsidRDefault="00D30A97" w:rsidP="007621FB">
      <w:pPr>
        <w:spacing w:after="120"/>
        <w:jc w:val="both"/>
        <w:rPr>
          <w:rFonts w:asciiTheme="majorHAnsi" w:hAnsiTheme="majorHAnsi"/>
          <w:lang w:val="fr-FR"/>
        </w:rPr>
      </w:pPr>
      <w:r w:rsidRPr="00E500E4">
        <w:rPr>
          <w:rFonts w:asciiTheme="majorHAnsi" w:hAnsiTheme="majorHAnsi"/>
          <w:lang w:val="fr-FR"/>
        </w:rPr>
        <w:t>Quant à typologie des familles ce qui apparait surtout c’est le mouvement des familles de deux ou quatre personnes</w:t>
      </w:r>
      <w:r>
        <w:rPr>
          <w:rFonts w:asciiTheme="majorHAnsi" w:hAnsiTheme="majorHAnsi"/>
          <w:lang w:val="fr-FR"/>
        </w:rPr>
        <w:t>, ce qui nous conduit à penser à la coexistence de différents intérêts et besoins, pouvant conduire à différentes situations de mobilité. Il est intéressant également d</w:t>
      </w:r>
      <w:r w:rsidR="002C1A6C">
        <w:rPr>
          <w:rFonts w:asciiTheme="majorHAnsi" w:hAnsiTheme="majorHAnsi"/>
          <w:lang w:val="fr-FR"/>
        </w:rPr>
        <w:t>e noter</w:t>
      </w:r>
      <w:r>
        <w:rPr>
          <w:rFonts w:asciiTheme="majorHAnsi" w:hAnsiTheme="majorHAnsi"/>
          <w:lang w:val="fr-FR"/>
        </w:rPr>
        <w:t xml:space="preserve"> le déplacement des familles </w:t>
      </w:r>
      <w:r w:rsidR="0084717C" w:rsidRPr="00AA7A17">
        <w:rPr>
          <w:rFonts w:asciiTheme="majorHAnsi" w:hAnsiTheme="majorHAnsi"/>
          <w:lang w:val="fr-FR"/>
        </w:rPr>
        <w:t xml:space="preserve">qui ont </w:t>
      </w:r>
      <w:r w:rsidR="00CE76F2" w:rsidRPr="00AA7A17">
        <w:rPr>
          <w:rFonts w:asciiTheme="majorHAnsi" w:hAnsiTheme="majorHAnsi"/>
          <w:lang w:val="fr-FR"/>
        </w:rPr>
        <w:t xml:space="preserve">des personnes </w:t>
      </w:r>
      <w:r w:rsidRPr="00AA7A17">
        <w:rPr>
          <w:rFonts w:asciiTheme="majorHAnsi" w:hAnsiTheme="majorHAnsi"/>
          <w:lang w:val="fr-FR"/>
        </w:rPr>
        <w:t>âgées de plus de 65 ans, ce qui d’un côté présuppose des processus continus dans le temps, et d’un autre attire l’attention sur le potentiel et les intérêts qui ne doivent pas être négligés quant aux opportunités qu’ils peuve</w:t>
      </w:r>
      <w:r>
        <w:rPr>
          <w:rFonts w:asciiTheme="majorHAnsi" w:hAnsiTheme="majorHAnsi"/>
          <w:lang w:val="fr-FR"/>
        </w:rPr>
        <w:t>nt amener/entrainer.</w:t>
      </w:r>
      <w:r w:rsidRPr="00087E07">
        <w:rPr>
          <w:rFonts w:asciiTheme="majorHAnsi" w:hAnsiTheme="majorHAnsi"/>
          <w:lang w:val="fr-FR"/>
        </w:rPr>
        <w:t xml:space="preserve"> </w:t>
      </w:r>
    </w:p>
    <w:p w14:paraId="63FF5BAC" w14:textId="77777777" w:rsidR="00D30A97" w:rsidRPr="00CA3562" w:rsidRDefault="00D30A97" w:rsidP="007621FB">
      <w:pPr>
        <w:spacing w:after="120"/>
        <w:jc w:val="both"/>
        <w:rPr>
          <w:rFonts w:asciiTheme="majorHAnsi" w:hAnsiTheme="majorHAnsi"/>
          <w:lang w:val="fr-FR"/>
        </w:rPr>
      </w:pPr>
      <w:r w:rsidRPr="00087E07">
        <w:rPr>
          <w:rFonts w:asciiTheme="majorHAnsi" w:hAnsiTheme="majorHAnsi"/>
          <w:lang w:val="fr-FR"/>
        </w:rPr>
        <w:t xml:space="preserve">Bien que les politiques sociales, et particulièrement celles de </w:t>
      </w:r>
      <w:r w:rsidRPr="00AA7A17">
        <w:rPr>
          <w:rFonts w:asciiTheme="majorHAnsi" w:hAnsiTheme="majorHAnsi"/>
          <w:lang w:val="fr-FR"/>
        </w:rPr>
        <w:t xml:space="preserve">soutien </w:t>
      </w:r>
      <w:r w:rsidR="00CE76F2" w:rsidRPr="00AA7A17">
        <w:rPr>
          <w:rFonts w:asciiTheme="majorHAnsi" w:hAnsiTheme="majorHAnsi"/>
          <w:lang w:val="fr-FR"/>
        </w:rPr>
        <w:t>à</w:t>
      </w:r>
      <w:r w:rsidRPr="00AA7A17">
        <w:rPr>
          <w:rFonts w:asciiTheme="majorHAnsi" w:hAnsiTheme="majorHAnsi"/>
          <w:lang w:val="fr-FR"/>
        </w:rPr>
        <w:t xml:space="preserve"> la famille</w:t>
      </w:r>
      <w:r w:rsidRPr="00087E07">
        <w:rPr>
          <w:rFonts w:asciiTheme="majorHAnsi" w:hAnsiTheme="majorHAnsi"/>
          <w:lang w:val="fr-FR"/>
        </w:rPr>
        <w:t>, soient de caractère national, il est important de réfléchir sur la néces</w:t>
      </w:r>
      <w:r w:rsidRPr="00AA7A17">
        <w:rPr>
          <w:rFonts w:asciiTheme="majorHAnsi" w:hAnsiTheme="majorHAnsi"/>
          <w:lang w:val="fr-FR"/>
        </w:rPr>
        <w:t>sit</w:t>
      </w:r>
      <w:r w:rsidR="00CE76F2" w:rsidRPr="00AA7A17">
        <w:rPr>
          <w:rFonts w:asciiTheme="majorHAnsi" w:hAnsiTheme="majorHAnsi"/>
          <w:lang w:val="fr-FR"/>
        </w:rPr>
        <w:t>é</w:t>
      </w:r>
      <w:r w:rsidRPr="00AA7A17">
        <w:rPr>
          <w:rFonts w:asciiTheme="majorHAnsi" w:hAnsiTheme="majorHAnsi"/>
          <w:lang w:val="fr-FR"/>
        </w:rPr>
        <w:t xml:space="preserve"> </w:t>
      </w:r>
      <w:r w:rsidRPr="00087E07">
        <w:rPr>
          <w:rFonts w:asciiTheme="majorHAnsi" w:hAnsiTheme="majorHAnsi"/>
          <w:lang w:val="fr-FR"/>
        </w:rPr>
        <w:t>d</w:t>
      </w:r>
      <w:r>
        <w:rPr>
          <w:rFonts w:asciiTheme="majorHAnsi" w:hAnsiTheme="majorHAnsi"/>
          <w:lang w:val="fr-FR"/>
        </w:rPr>
        <w:t>’</w:t>
      </w:r>
      <w:r w:rsidRPr="00087E07">
        <w:rPr>
          <w:rFonts w:asciiTheme="majorHAnsi" w:hAnsiTheme="majorHAnsi"/>
          <w:lang w:val="fr-FR"/>
        </w:rPr>
        <w:t>intégrer dif</w:t>
      </w:r>
      <w:r>
        <w:rPr>
          <w:rFonts w:asciiTheme="majorHAnsi" w:hAnsiTheme="majorHAnsi"/>
          <w:lang w:val="fr-FR"/>
        </w:rPr>
        <w:t>f</w:t>
      </w:r>
      <w:r w:rsidRPr="00087E07">
        <w:rPr>
          <w:rFonts w:asciiTheme="majorHAnsi" w:hAnsiTheme="majorHAnsi"/>
          <w:lang w:val="fr-FR"/>
        </w:rPr>
        <w:t>érents nive</w:t>
      </w:r>
      <w:r>
        <w:rPr>
          <w:rFonts w:asciiTheme="majorHAnsi" w:hAnsiTheme="majorHAnsi"/>
          <w:lang w:val="fr-FR"/>
        </w:rPr>
        <w:t>aux d’analyse</w:t>
      </w:r>
      <w:r w:rsidRPr="00087E07">
        <w:rPr>
          <w:rFonts w:asciiTheme="majorHAnsi" w:hAnsiTheme="majorHAnsi"/>
          <w:lang w:val="fr-FR"/>
        </w:rPr>
        <w:t xml:space="preserve"> de f</w:t>
      </w:r>
      <w:r>
        <w:rPr>
          <w:rFonts w:asciiTheme="majorHAnsi" w:hAnsiTheme="majorHAnsi"/>
          <w:lang w:val="fr-FR"/>
        </w:rPr>
        <w:t xml:space="preserve">açon à ce que les politiques de la famille puissent être conséquentes, dans la mesure où </w:t>
      </w:r>
      <w:r w:rsidRPr="00AA7A17">
        <w:rPr>
          <w:rFonts w:asciiTheme="majorHAnsi" w:hAnsiTheme="majorHAnsi"/>
          <w:lang w:val="fr-FR"/>
        </w:rPr>
        <w:t xml:space="preserve">celles-ci </w:t>
      </w:r>
      <w:r w:rsidR="00CE76F2" w:rsidRPr="00AA7A17">
        <w:rPr>
          <w:rFonts w:asciiTheme="majorHAnsi" w:hAnsiTheme="majorHAnsi"/>
          <w:lang w:val="fr-FR"/>
        </w:rPr>
        <w:t xml:space="preserve">doivent </w:t>
      </w:r>
      <w:r w:rsidRPr="00AA7A17">
        <w:rPr>
          <w:rFonts w:asciiTheme="majorHAnsi" w:hAnsiTheme="majorHAnsi"/>
          <w:lang w:val="fr-FR"/>
        </w:rPr>
        <w:t>répond</w:t>
      </w:r>
      <w:r w:rsidR="00CE76F2" w:rsidRPr="00AA7A17">
        <w:rPr>
          <w:rFonts w:asciiTheme="majorHAnsi" w:hAnsiTheme="majorHAnsi"/>
          <w:lang w:val="fr-FR"/>
        </w:rPr>
        <w:t>re</w:t>
      </w:r>
      <w:r>
        <w:rPr>
          <w:rFonts w:asciiTheme="majorHAnsi" w:hAnsiTheme="majorHAnsi"/>
          <w:lang w:val="fr-FR"/>
        </w:rPr>
        <w:t xml:space="preserve"> aux processus et aux dynamiques populationnelles en cours. </w:t>
      </w:r>
      <w:r w:rsidRPr="00157E53">
        <w:rPr>
          <w:rFonts w:asciiTheme="majorHAnsi" w:hAnsiTheme="majorHAnsi"/>
          <w:lang w:val="fr-FR"/>
        </w:rPr>
        <w:t>Mais de cet exercice, il ressort un immense champ ouvert e</w:t>
      </w:r>
      <w:r w:rsidR="00AA7A17">
        <w:rPr>
          <w:rFonts w:asciiTheme="majorHAnsi" w:hAnsiTheme="majorHAnsi"/>
          <w:lang w:val="fr-FR"/>
        </w:rPr>
        <w:t>t les virtualités pour la articulation</w:t>
      </w:r>
      <w:r w:rsidR="0084717C">
        <w:rPr>
          <w:rFonts w:asciiTheme="majorHAnsi" w:hAnsiTheme="majorHAnsi"/>
          <w:lang w:val="fr-FR"/>
        </w:rPr>
        <w:t xml:space="preserve"> </w:t>
      </w:r>
      <w:r w:rsidRPr="00157E53">
        <w:rPr>
          <w:rFonts w:asciiTheme="majorHAnsi" w:hAnsiTheme="majorHAnsi"/>
          <w:lang w:val="fr-FR"/>
        </w:rPr>
        <w:t>multi</w:t>
      </w:r>
      <w:r>
        <w:rPr>
          <w:rFonts w:asciiTheme="majorHAnsi" w:hAnsiTheme="majorHAnsi"/>
          <w:lang w:val="fr-FR"/>
        </w:rPr>
        <w:t>-</w:t>
      </w:r>
      <w:r w:rsidRPr="00157E53">
        <w:rPr>
          <w:rFonts w:asciiTheme="majorHAnsi" w:hAnsiTheme="majorHAnsi"/>
          <w:lang w:val="fr-FR"/>
        </w:rPr>
        <w:t>niveaux</w:t>
      </w:r>
      <w:r w:rsidR="00AA7A17">
        <w:rPr>
          <w:rFonts w:asciiTheme="majorHAnsi" w:hAnsiTheme="majorHAnsi"/>
          <w:lang w:val="fr-FR"/>
        </w:rPr>
        <w:t xml:space="preserve"> dans le champ des politique publiques/intervention sociale. </w:t>
      </w:r>
    </w:p>
    <w:p w14:paraId="27D0184D" w14:textId="77777777" w:rsidR="00D30A97" w:rsidRPr="00CA3562" w:rsidRDefault="00D30A97" w:rsidP="007621FB">
      <w:pPr>
        <w:spacing w:after="120"/>
        <w:jc w:val="both"/>
        <w:rPr>
          <w:rFonts w:asciiTheme="majorHAnsi" w:hAnsiTheme="majorHAnsi"/>
          <w:lang w:val="fr-FR"/>
        </w:rPr>
      </w:pPr>
      <w:bookmarkStart w:id="0" w:name="_GoBack"/>
      <w:bookmarkEnd w:id="0"/>
    </w:p>
    <w:p w14:paraId="754110DF" w14:textId="77777777" w:rsidR="00D30A97" w:rsidRPr="00653405" w:rsidRDefault="00D30A97" w:rsidP="00D30A97">
      <w:pPr>
        <w:spacing w:after="120"/>
        <w:jc w:val="both"/>
        <w:rPr>
          <w:rFonts w:asciiTheme="majorHAnsi" w:hAnsiTheme="majorHAnsi"/>
          <w:lang w:val="fr-FR"/>
        </w:rPr>
      </w:pPr>
      <w:r w:rsidRPr="00653405">
        <w:rPr>
          <w:rFonts w:asciiTheme="majorHAnsi" w:hAnsiTheme="majorHAnsi"/>
          <w:lang w:val="fr-FR"/>
        </w:rPr>
        <w:lastRenderedPageBreak/>
        <w:t>Bibliographie</w:t>
      </w:r>
    </w:p>
    <w:p w14:paraId="5C311F1D" w14:textId="77777777" w:rsidR="00D30A97" w:rsidRPr="00653405" w:rsidRDefault="00D30A97" w:rsidP="00D30A97">
      <w:pPr>
        <w:spacing w:after="120"/>
        <w:jc w:val="both"/>
        <w:rPr>
          <w:rFonts w:asciiTheme="majorHAnsi" w:hAnsiTheme="majorHAnsi"/>
          <w:lang w:val="fr-FR"/>
        </w:rPr>
      </w:pPr>
    </w:p>
    <w:p w14:paraId="63838F26" w14:textId="77777777" w:rsidR="00D30A97" w:rsidRPr="00E12568" w:rsidRDefault="00D30A97" w:rsidP="00D30A97">
      <w:pPr>
        <w:widowControl w:val="0"/>
        <w:autoSpaceDE w:val="0"/>
        <w:autoSpaceDN w:val="0"/>
        <w:adjustRightInd w:val="0"/>
        <w:spacing w:after="120"/>
        <w:ind w:left="480" w:hanging="480"/>
        <w:rPr>
          <w:rFonts w:ascii="Calibri" w:hAnsi="Calibri"/>
          <w:noProof/>
          <w:lang w:val="fr-FR"/>
        </w:rPr>
      </w:pPr>
      <w:r>
        <w:rPr>
          <w:rFonts w:asciiTheme="majorHAnsi" w:hAnsiTheme="majorHAnsi"/>
        </w:rPr>
        <w:fldChar w:fldCharType="begin" w:fldLock="1"/>
      </w:r>
      <w:r w:rsidRPr="00653405">
        <w:rPr>
          <w:rFonts w:asciiTheme="majorHAnsi" w:hAnsiTheme="majorHAnsi"/>
          <w:lang w:val="fr-FR"/>
        </w:rPr>
        <w:instrText xml:space="preserve">ADDIN Mendeley Bibliography CSL_BIBLIOGRAPHY </w:instrText>
      </w:r>
      <w:r>
        <w:rPr>
          <w:rFonts w:asciiTheme="majorHAnsi" w:hAnsiTheme="majorHAnsi"/>
        </w:rPr>
        <w:fldChar w:fldCharType="separate"/>
      </w:r>
      <w:r w:rsidRPr="00653405">
        <w:rPr>
          <w:rFonts w:ascii="Calibri" w:hAnsi="Calibri"/>
          <w:noProof/>
          <w:lang w:val="fr-FR"/>
        </w:rPr>
        <w:t xml:space="preserve">Carvalho, A. C. (2014). </w:t>
      </w:r>
      <w:r w:rsidRPr="003870B9">
        <w:rPr>
          <w:rFonts w:ascii="Calibri" w:hAnsi="Calibri"/>
          <w:noProof/>
        </w:rPr>
        <w:t xml:space="preserve">Nota de Apresentação. In A. Delgado &amp; K. Wall (Eds.), </w:t>
      </w:r>
      <w:r w:rsidRPr="003870B9">
        <w:rPr>
          <w:rFonts w:ascii="Calibri" w:hAnsi="Calibri"/>
          <w:i/>
          <w:iCs/>
          <w:noProof/>
        </w:rPr>
        <w:t>Famílias nos Censos 2011:Diversidade e Mudança</w:t>
      </w:r>
      <w:r w:rsidRPr="003870B9">
        <w:rPr>
          <w:rFonts w:ascii="Calibri" w:hAnsi="Calibri"/>
          <w:noProof/>
        </w:rPr>
        <w:t xml:space="preserve"> (pp. 21–22). </w:t>
      </w:r>
      <w:r w:rsidRPr="00E12568">
        <w:rPr>
          <w:rFonts w:ascii="Calibri" w:hAnsi="Calibri"/>
          <w:noProof/>
          <w:lang w:val="fr-FR"/>
        </w:rPr>
        <w:t>Lisbonne: Institut National de Statistique/Presse de Sciences Sociales.</w:t>
      </w:r>
    </w:p>
    <w:p w14:paraId="4917890F" w14:textId="77777777" w:rsidR="00D30A97" w:rsidRPr="002C09B6" w:rsidRDefault="00D30A97" w:rsidP="00D30A97">
      <w:pPr>
        <w:widowControl w:val="0"/>
        <w:autoSpaceDE w:val="0"/>
        <w:autoSpaceDN w:val="0"/>
        <w:adjustRightInd w:val="0"/>
        <w:spacing w:after="120"/>
        <w:ind w:left="480" w:hanging="480"/>
        <w:rPr>
          <w:rFonts w:ascii="Calibri" w:hAnsi="Calibri"/>
          <w:noProof/>
          <w:lang w:val="en-US"/>
        </w:rPr>
      </w:pPr>
      <w:r w:rsidRPr="00A831CF">
        <w:rPr>
          <w:rFonts w:ascii="Calibri" w:hAnsi="Calibri"/>
          <w:noProof/>
          <w:lang w:val="fr-FR"/>
        </w:rPr>
        <w:t xml:space="preserve">Champion, T., &amp; Fielding, T. (2015). </w:t>
      </w:r>
      <w:r w:rsidRPr="002C09B6">
        <w:rPr>
          <w:rFonts w:ascii="Calibri" w:hAnsi="Calibri"/>
          <w:noProof/>
          <w:lang w:val="en-US"/>
        </w:rPr>
        <w:t xml:space="preserve">No Title. In D. P. Smith, N. Finney, K. Halfacree, &amp; N. Walford (Eds.), </w:t>
      </w:r>
      <w:r w:rsidRPr="002C09B6">
        <w:rPr>
          <w:rFonts w:ascii="Calibri" w:hAnsi="Calibri"/>
          <w:i/>
          <w:iCs/>
          <w:noProof/>
          <w:lang w:val="en-US"/>
        </w:rPr>
        <w:t>Internal migration : geographical perspectives and processes</w:t>
      </w:r>
      <w:r w:rsidRPr="002C09B6">
        <w:rPr>
          <w:rFonts w:ascii="Calibri" w:hAnsi="Calibri"/>
          <w:noProof/>
          <w:lang w:val="en-US"/>
        </w:rPr>
        <w:t>. Farnham: ashgate Publishing limited.</w:t>
      </w:r>
    </w:p>
    <w:p w14:paraId="26F1DFA4" w14:textId="77777777" w:rsidR="00D30A97" w:rsidRPr="002C09B6" w:rsidRDefault="00D30A97" w:rsidP="00D30A97">
      <w:pPr>
        <w:widowControl w:val="0"/>
        <w:autoSpaceDE w:val="0"/>
        <w:autoSpaceDN w:val="0"/>
        <w:adjustRightInd w:val="0"/>
        <w:spacing w:after="120"/>
        <w:ind w:left="480" w:hanging="480"/>
        <w:rPr>
          <w:rFonts w:ascii="Calibri" w:hAnsi="Calibri"/>
          <w:noProof/>
          <w:lang w:val="en-US"/>
        </w:rPr>
      </w:pPr>
      <w:r w:rsidRPr="002C09B6">
        <w:rPr>
          <w:rFonts w:ascii="Calibri" w:hAnsi="Calibri"/>
          <w:noProof/>
          <w:lang w:val="en-US"/>
        </w:rPr>
        <w:t xml:space="preserve">Cooke, T. J. (2008). Migration in a Family Way. </w:t>
      </w:r>
      <w:r w:rsidR="007A3886">
        <w:rPr>
          <w:rFonts w:ascii="Calibri" w:hAnsi="Calibri"/>
          <w:i/>
          <w:iCs/>
          <w:noProof/>
          <w:lang w:val="en-US"/>
        </w:rPr>
        <w:t>Population, Space and Place</w:t>
      </w:r>
      <w:r w:rsidRPr="002C09B6">
        <w:rPr>
          <w:rFonts w:ascii="Calibri" w:hAnsi="Calibri"/>
          <w:noProof/>
          <w:lang w:val="en-US"/>
        </w:rPr>
        <w:t>, (14), 255–265. doi:10.1002/psp.500</w:t>
      </w:r>
    </w:p>
    <w:p w14:paraId="281D4C3B" w14:textId="77777777" w:rsidR="00D30A97" w:rsidRPr="002C09B6" w:rsidRDefault="00D30A97" w:rsidP="00D30A97">
      <w:pPr>
        <w:widowControl w:val="0"/>
        <w:autoSpaceDE w:val="0"/>
        <w:autoSpaceDN w:val="0"/>
        <w:adjustRightInd w:val="0"/>
        <w:spacing w:after="120"/>
        <w:ind w:left="480" w:hanging="480"/>
        <w:rPr>
          <w:rFonts w:ascii="Calibri" w:hAnsi="Calibri"/>
          <w:noProof/>
          <w:lang w:val="en-US"/>
        </w:rPr>
      </w:pPr>
      <w:r w:rsidRPr="002C09B6">
        <w:rPr>
          <w:rFonts w:ascii="Calibri" w:hAnsi="Calibri"/>
          <w:noProof/>
          <w:lang w:val="en-US"/>
        </w:rPr>
        <w:t xml:space="preserve">Gauthier, A. (2001). The Impact Of Public Policies On Families And Demographic Behaviour. In </w:t>
      </w:r>
      <w:r w:rsidRPr="002C09B6">
        <w:rPr>
          <w:rFonts w:ascii="Calibri" w:hAnsi="Calibri"/>
          <w:i/>
          <w:iCs/>
          <w:noProof/>
          <w:lang w:val="en-US"/>
        </w:rPr>
        <w:t>ESF/EURESCO conference ‘The second demographic transition in Europe</w:t>
      </w:r>
      <w:r w:rsidRPr="002C09B6">
        <w:rPr>
          <w:rFonts w:ascii="Calibri" w:hAnsi="Calibri"/>
          <w:noProof/>
          <w:lang w:val="en-US"/>
        </w:rPr>
        <w:t>. Retrieved from http://www.demogr.mpg.de/papers/workshops/010623_paper21.pdf</w:t>
      </w:r>
    </w:p>
    <w:p w14:paraId="07022903" w14:textId="77777777" w:rsidR="00D30A97" w:rsidRPr="002C09B6" w:rsidRDefault="00D30A97" w:rsidP="00D30A97">
      <w:pPr>
        <w:widowControl w:val="0"/>
        <w:autoSpaceDE w:val="0"/>
        <w:autoSpaceDN w:val="0"/>
        <w:adjustRightInd w:val="0"/>
        <w:spacing w:after="120"/>
        <w:ind w:left="480" w:hanging="480"/>
        <w:rPr>
          <w:rFonts w:ascii="Calibri" w:hAnsi="Calibri"/>
          <w:noProof/>
          <w:lang w:val="en-US"/>
        </w:rPr>
      </w:pPr>
      <w:r w:rsidRPr="002C09B6">
        <w:rPr>
          <w:rFonts w:ascii="Calibri" w:hAnsi="Calibri"/>
          <w:noProof/>
          <w:lang w:val="en-US"/>
        </w:rPr>
        <w:t xml:space="preserve">Geist, C., &amp; McManus, P. A. (2012). Different Reasons, Different Results: Implications of Migration by Gender and Family Status. </w:t>
      </w:r>
      <w:r w:rsidRPr="002C09B6">
        <w:rPr>
          <w:rFonts w:ascii="Calibri" w:hAnsi="Calibri"/>
          <w:i/>
          <w:iCs/>
          <w:noProof/>
          <w:lang w:val="en-US"/>
        </w:rPr>
        <w:t>Demography</w:t>
      </w:r>
      <w:r w:rsidRPr="002C09B6">
        <w:rPr>
          <w:rFonts w:ascii="Calibri" w:hAnsi="Calibri"/>
          <w:noProof/>
          <w:lang w:val="en-US"/>
        </w:rPr>
        <w:t>, (49), 197–217. doi:10.1007/s13524-011-0074-8</w:t>
      </w:r>
    </w:p>
    <w:p w14:paraId="78EC06B1" w14:textId="77777777" w:rsidR="00D30A97" w:rsidRPr="002C09B6" w:rsidRDefault="00D30A97" w:rsidP="00D30A97">
      <w:pPr>
        <w:widowControl w:val="0"/>
        <w:autoSpaceDE w:val="0"/>
        <w:autoSpaceDN w:val="0"/>
        <w:adjustRightInd w:val="0"/>
        <w:spacing w:after="120"/>
        <w:ind w:left="480" w:hanging="480"/>
        <w:rPr>
          <w:rFonts w:ascii="Calibri" w:hAnsi="Calibri"/>
          <w:noProof/>
          <w:lang w:val="en-US"/>
        </w:rPr>
      </w:pPr>
      <w:r w:rsidRPr="002C09B6">
        <w:rPr>
          <w:rFonts w:ascii="Calibri" w:hAnsi="Calibri"/>
          <w:noProof/>
          <w:lang w:val="en-US"/>
        </w:rPr>
        <w:t xml:space="preserve">Kofman, E. (2004). Family- Related Migration: A Critical Review of European Studies. </w:t>
      </w:r>
      <w:r w:rsidRPr="002C09B6">
        <w:rPr>
          <w:rFonts w:ascii="Calibri" w:hAnsi="Calibri"/>
          <w:i/>
          <w:iCs/>
          <w:noProof/>
          <w:lang w:val="en-US"/>
        </w:rPr>
        <w:t>Journal of Ethnic and Migration Studies</w:t>
      </w:r>
      <w:r w:rsidRPr="002C09B6">
        <w:rPr>
          <w:rFonts w:ascii="Calibri" w:hAnsi="Calibri"/>
          <w:noProof/>
          <w:lang w:val="en-US"/>
        </w:rPr>
        <w:t xml:space="preserve">, </w:t>
      </w:r>
      <w:r w:rsidRPr="002C09B6">
        <w:rPr>
          <w:rFonts w:ascii="Calibri" w:hAnsi="Calibri"/>
          <w:i/>
          <w:iCs/>
          <w:noProof/>
          <w:lang w:val="en-US"/>
        </w:rPr>
        <w:t>30</w:t>
      </w:r>
      <w:r w:rsidRPr="002C09B6">
        <w:rPr>
          <w:rFonts w:ascii="Calibri" w:hAnsi="Calibri"/>
          <w:noProof/>
          <w:lang w:val="en-US"/>
        </w:rPr>
        <w:t>(2), 243–262.</w:t>
      </w:r>
    </w:p>
    <w:p w14:paraId="11C9B3C2" w14:textId="77777777" w:rsidR="00D30A97" w:rsidRPr="002C09B6" w:rsidRDefault="00D30A97" w:rsidP="00D30A97">
      <w:pPr>
        <w:widowControl w:val="0"/>
        <w:autoSpaceDE w:val="0"/>
        <w:autoSpaceDN w:val="0"/>
        <w:adjustRightInd w:val="0"/>
        <w:spacing w:after="120"/>
        <w:ind w:left="480" w:hanging="480"/>
        <w:rPr>
          <w:rFonts w:ascii="Calibri" w:hAnsi="Calibri"/>
          <w:noProof/>
          <w:lang w:val="en-US"/>
        </w:rPr>
      </w:pPr>
      <w:r w:rsidRPr="002C09B6">
        <w:rPr>
          <w:rFonts w:ascii="Calibri" w:hAnsi="Calibri"/>
          <w:noProof/>
          <w:lang w:val="en-US"/>
        </w:rPr>
        <w:t xml:space="preserve">Smith, D. P., Finney, N., Halfacree, K., &amp; Walford, N. (2015). </w:t>
      </w:r>
      <w:r w:rsidRPr="002C09B6">
        <w:rPr>
          <w:rFonts w:ascii="Calibri" w:hAnsi="Calibri"/>
          <w:i/>
          <w:iCs/>
          <w:noProof/>
          <w:lang w:val="en-US"/>
        </w:rPr>
        <w:t>Internal migration : geographical perspectives and processes</w:t>
      </w:r>
      <w:r w:rsidRPr="002C09B6">
        <w:rPr>
          <w:rFonts w:ascii="Calibri" w:hAnsi="Calibri"/>
          <w:noProof/>
          <w:lang w:val="en-US"/>
        </w:rPr>
        <w:t>. Farnham: Ashgate Publishing limited.</w:t>
      </w:r>
    </w:p>
    <w:p w14:paraId="0201CBE8" w14:textId="77777777" w:rsidR="00D30A97" w:rsidRPr="002C09B6" w:rsidRDefault="00D30A97" w:rsidP="00D30A97">
      <w:pPr>
        <w:widowControl w:val="0"/>
        <w:autoSpaceDE w:val="0"/>
        <w:autoSpaceDN w:val="0"/>
        <w:adjustRightInd w:val="0"/>
        <w:spacing w:after="120"/>
        <w:ind w:left="480" w:hanging="480"/>
        <w:rPr>
          <w:rFonts w:ascii="Calibri" w:hAnsi="Calibri"/>
          <w:noProof/>
          <w:lang w:val="en-US"/>
        </w:rPr>
      </w:pPr>
      <w:r w:rsidRPr="002C09B6">
        <w:rPr>
          <w:rFonts w:ascii="Calibri" w:hAnsi="Calibri"/>
          <w:noProof/>
          <w:lang w:val="en-US"/>
        </w:rPr>
        <w:t xml:space="preserve">Topilion, A. (2014). Migration and the Spatial Economic Development of the Country. </w:t>
      </w:r>
      <w:r w:rsidRPr="002C09B6">
        <w:rPr>
          <w:rFonts w:ascii="Calibri" w:hAnsi="Calibri"/>
          <w:i/>
          <w:iCs/>
          <w:noProof/>
          <w:lang w:val="en-US"/>
        </w:rPr>
        <w:t>Problems of Economic Transition</w:t>
      </w:r>
      <w:r w:rsidRPr="002C09B6">
        <w:rPr>
          <w:rFonts w:ascii="Calibri" w:hAnsi="Calibri"/>
          <w:noProof/>
          <w:lang w:val="en-US"/>
        </w:rPr>
        <w:t xml:space="preserve">, </w:t>
      </w:r>
      <w:r w:rsidRPr="002C09B6">
        <w:rPr>
          <w:rFonts w:ascii="Calibri" w:hAnsi="Calibri"/>
          <w:i/>
          <w:iCs/>
          <w:noProof/>
          <w:lang w:val="en-US"/>
        </w:rPr>
        <w:t>57</w:t>
      </w:r>
      <w:r w:rsidRPr="002C09B6">
        <w:rPr>
          <w:rFonts w:ascii="Calibri" w:hAnsi="Calibri"/>
          <w:noProof/>
          <w:lang w:val="en-US"/>
        </w:rPr>
        <w:t>(7), 47–62. doi:10.1080/10611991.2015.1022934</w:t>
      </w:r>
    </w:p>
    <w:p w14:paraId="19F84020" w14:textId="77777777" w:rsidR="00D30A97" w:rsidRPr="003870B9" w:rsidRDefault="00D30A97" w:rsidP="00D30A97">
      <w:pPr>
        <w:widowControl w:val="0"/>
        <w:autoSpaceDE w:val="0"/>
        <w:autoSpaceDN w:val="0"/>
        <w:adjustRightInd w:val="0"/>
        <w:spacing w:after="120"/>
        <w:ind w:left="480" w:hanging="480"/>
        <w:rPr>
          <w:rFonts w:ascii="Calibri" w:hAnsi="Calibri"/>
          <w:noProof/>
        </w:rPr>
      </w:pPr>
      <w:r w:rsidRPr="002C09B6">
        <w:rPr>
          <w:rFonts w:ascii="Calibri" w:hAnsi="Calibri"/>
          <w:noProof/>
          <w:lang w:val="en-US"/>
        </w:rPr>
        <w:t xml:space="preserve">Tyrrell, N., &amp; Kraftl, P. (2015). Lifecourse and Internal Migration. In D. P. Smith, N. Finney, K. Halfacree, &amp; N. Walford (Eds.), </w:t>
      </w:r>
      <w:r w:rsidRPr="002C09B6">
        <w:rPr>
          <w:rFonts w:ascii="Calibri" w:hAnsi="Calibri"/>
          <w:i/>
          <w:iCs/>
          <w:noProof/>
          <w:lang w:val="en-US"/>
        </w:rPr>
        <w:t>Internal migration : geographical perspectives and processes</w:t>
      </w:r>
      <w:r w:rsidRPr="002C09B6">
        <w:rPr>
          <w:rFonts w:ascii="Calibri" w:hAnsi="Calibri"/>
          <w:noProof/>
          <w:lang w:val="en-US"/>
        </w:rPr>
        <w:t xml:space="preserve"> (pp. 15–29). </w:t>
      </w:r>
      <w:r w:rsidRPr="003870B9">
        <w:rPr>
          <w:rFonts w:ascii="Calibri" w:hAnsi="Calibri"/>
          <w:noProof/>
        </w:rPr>
        <w:t>Farnham: Ashgate Publishing limited.</w:t>
      </w:r>
    </w:p>
    <w:p w14:paraId="63C0D1FC" w14:textId="77777777" w:rsidR="00D30A97" w:rsidRPr="00653405" w:rsidRDefault="00D30A97" w:rsidP="00D30A97">
      <w:pPr>
        <w:widowControl w:val="0"/>
        <w:autoSpaceDE w:val="0"/>
        <w:autoSpaceDN w:val="0"/>
        <w:adjustRightInd w:val="0"/>
        <w:spacing w:after="120"/>
        <w:ind w:left="480" w:hanging="480"/>
        <w:rPr>
          <w:rFonts w:ascii="Calibri" w:hAnsi="Calibri"/>
          <w:noProof/>
          <w:lang w:val="en-GB"/>
        </w:rPr>
      </w:pPr>
      <w:r w:rsidRPr="003870B9">
        <w:rPr>
          <w:rFonts w:ascii="Calibri" w:hAnsi="Calibri"/>
          <w:noProof/>
        </w:rPr>
        <w:t xml:space="preserve">Wall, K., Leitão, M., Atalaia, S., &amp; Cunha, V. (2015). </w:t>
      </w:r>
      <w:r w:rsidRPr="003870B9">
        <w:rPr>
          <w:rFonts w:ascii="Calibri" w:hAnsi="Calibri"/>
          <w:i/>
          <w:iCs/>
          <w:noProof/>
        </w:rPr>
        <w:t xml:space="preserve">Políticas de apoio económico às famílias em 2013. </w:t>
      </w:r>
      <w:r w:rsidRPr="00653405">
        <w:rPr>
          <w:rFonts w:ascii="Calibri" w:hAnsi="Calibri"/>
          <w:i/>
          <w:iCs/>
          <w:noProof/>
          <w:lang w:val="en-GB"/>
        </w:rPr>
        <w:t>(Policy Brief 2014)</w:t>
      </w:r>
      <w:r w:rsidRPr="00653405">
        <w:rPr>
          <w:rFonts w:ascii="Calibri" w:hAnsi="Calibri"/>
          <w:noProof/>
          <w:lang w:val="en-GB"/>
        </w:rPr>
        <w:t>. Lisboa.</w:t>
      </w:r>
    </w:p>
    <w:p w14:paraId="77449087" w14:textId="77777777" w:rsidR="00D30A97" w:rsidRPr="002C09B6" w:rsidRDefault="00D30A97" w:rsidP="00D30A97">
      <w:pPr>
        <w:widowControl w:val="0"/>
        <w:autoSpaceDE w:val="0"/>
        <w:autoSpaceDN w:val="0"/>
        <w:adjustRightInd w:val="0"/>
        <w:spacing w:after="120"/>
        <w:ind w:left="480" w:hanging="480"/>
        <w:rPr>
          <w:rFonts w:ascii="Calibri" w:hAnsi="Calibri"/>
          <w:noProof/>
        </w:rPr>
      </w:pPr>
      <w:r w:rsidRPr="00653405">
        <w:rPr>
          <w:rFonts w:ascii="Calibri" w:hAnsi="Calibri"/>
          <w:noProof/>
          <w:lang w:val="en-GB"/>
        </w:rPr>
        <w:t xml:space="preserve">Yazgi, B., Dokmeci, V., Koramaz, K., &amp; Kiroglu, G. (2014). </w:t>
      </w:r>
      <w:r w:rsidRPr="002C09B6">
        <w:rPr>
          <w:rFonts w:ascii="Calibri" w:hAnsi="Calibri"/>
          <w:noProof/>
          <w:lang w:val="en-US"/>
        </w:rPr>
        <w:t xml:space="preserve">Impact of Characteristics of Origin and Destination Provinces on Migration: 1995 – 2000. </w:t>
      </w:r>
      <w:r w:rsidRPr="002C09B6">
        <w:rPr>
          <w:rFonts w:ascii="Calibri" w:hAnsi="Calibri"/>
          <w:i/>
          <w:iCs/>
          <w:noProof/>
          <w:lang w:val="en-US"/>
        </w:rPr>
        <w:t>European Planning Studies,22</w:t>
      </w:r>
      <w:r w:rsidRPr="002C09B6">
        <w:rPr>
          <w:rFonts w:ascii="Calibri" w:hAnsi="Calibri"/>
          <w:noProof/>
          <w:lang w:val="en-US"/>
        </w:rPr>
        <w:t>(6), 1182–1198. doi:10.1080/09654313.2013.771620</w:t>
      </w:r>
    </w:p>
    <w:p w14:paraId="1C697F09" w14:textId="77777777" w:rsidR="00D30A97" w:rsidRDefault="00D30A97" w:rsidP="00D30A97">
      <w:pPr>
        <w:widowControl w:val="0"/>
        <w:autoSpaceDE w:val="0"/>
        <w:autoSpaceDN w:val="0"/>
        <w:adjustRightInd w:val="0"/>
        <w:spacing w:after="120"/>
        <w:ind w:left="480" w:hanging="480"/>
        <w:rPr>
          <w:rFonts w:asciiTheme="majorHAnsi" w:hAnsiTheme="majorHAnsi"/>
        </w:rPr>
      </w:pPr>
      <w:r>
        <w:rPr>
          <w:rFonts w:asciiTheme="majorHAnsi" w:hAnsiTheme="majorHAnsi"/>
        </w:rPr>
        <w:fldChar w:fldCharType="end"/>
      </w:r>
    </w:p>
    <w:p w14:paraId="163B36A4" w14:textId="77777777" w:rsidR="00D30A97" w:rsidRDefault="00D30A97" w:rsidP="00A77AB5">
      <w:pPr>
        <w:spacing w:after="120"/>
        <w:jc w:val="both"/>
        <w:rPr>
          <w:rFonts w:asciiTheme="majorHAnsi" w:hAnsiTheme="majorHAnsi"/>
          <w:lang w:val="fr-FR"/>
        </w:rPr>
      </w:pPr>
    </w:p>
    <w:p w14:paraId="78ABF828" w14:textId="77777777" w:rsidR="008F5563" w:rsidRDefault="008F5563" w:rsidP="00D30A97">
      <w:pPr>
        <w:widowControl w:val="0"/>
        <w:autoSpaceDE w:val="0"/>
        <w:autoSpaceDN w:val="0"/>
        <w:adjustRightInd w:val="0"/>
        <w:spacing w:after="120"/>
        <w:rPr>
          <w:rFonts w:asciiTheme="majorHAnsi" w:hAnsiTheme="majorHAnsi"/>
        </w:rPr>
      </w:pPr>
    </w:p>
    <w:sectPr w:rsidR="008F5563" w:rsidSect="005123F9">
      <w:footerReference w:type="even" r:id="rId19"/>
      <w:footerReference w:type="default" r:id="rId2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BF0B4" w14:textId="77777777" w:rsidR="00E43D38" w:rsidRDefault="00E43D38" w:rsidP="00634BEB">
      <w:r>
        <w:separator/>
      </w:r>
    </w:p>
  </w:endnote>
  <w:endnote w:type="continuationSeparator" w:id="0">
    <w:p w14:paraId="04C624C0" w14:textId="77777777" w:rsidR="00E43D38" w:rsidRDefault="00E43D38" w:rsidP="0063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E30D4" w14:textId="77777777" w:rsidR="00E43D38" w:rsidRDefault="00E43D38" w:rsidP="00670B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53D53C" w14:textId="77777777" w:rsidR="00E43D38" w:rsidRDefault="00E43D38" w:rsidP="00670BD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CCFE7" w14:textId="77777777" w:rsidR="00E43D38" w:rsidRDefault="00E43D38" w:rsidP="00670B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31DB">
      <w:rPr>
        <w:rStyle w:val="PageNumber"/>
        <w:noProof/>
      </w:rPr>
      <w:t>13</w:t>
    </w:r>
    <w:r>
      <w:rPr>
        <w:rStyle w:val="PageNumber"/>
      </w:rPr>
      <w:fldChar w:fldCharType="end"/>
    </w:r>
  </w:p>
  <w:p w14:paraId="26B0B1F4" w14:textId="77777777" w:rsidR="00E43D38" w:rsidRDefault="00E43D38" w:rsidP="00670BD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17F50" w14:textId="77777777" w:rsidR="00E43D38" w:rsidRDefault="00E43D38" w:rsidP="00634BEB">
      <w:r>
        <w:separator/>
      </w:r>
    </w:p>
  </w:footnote>
  <w:footnote w:type="continuationSeparator" w:id="0">
    <w:p w14:paraId="1FB2E8C9" w14:textId="77777777" w:rsidR="00E43D38" w:rsidRDefault="00E43D38" w:rsidP="00634B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8BC46DF"/>
    <w:multiLevelType w:val="hybridMultilevel"/>
    <w:tmpl w:val="AC9C8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ED9"/>
    <w:rsid w:val="000004E4"/>
    <w:rsid w:val="000023DC"/>
    <w:rsid w:val="000036E8"/>
    <w:rsid w:val="00004B09"/>
    <w:rsid w:val="00005181"/>
    <w:rsid w:val="00006281"/>
    <w:rsid w:val="00007FF0"/>
    <w:rsid w:val="000120C5"/>
    <w:rsid w:val="00012BC7"/>
    <w:rsid w:val="000142FD"/>
    <w:rsid w:val="00014F29"/>
    <w:rsid w:val="00016D24"/>
    <w:rsid w:val="0002409B"/>
    <w:rsid w:val="0003097D"/>
    <w:rsid w:val="00032677"/>
    <w:rsid w:val="00032B6B"/>
    <w:rsid w:val="0003746F"/>
    <w:rsid w:val="00040431"/>
    <w:rsid w:val="00041A2C"/>
    <w:rsid w:val="000468F5"/>
    <w:rsid w:val="000503D9"/>
    <w:rsid w:val="00052CE8"/>
    <w:rsid w:val="00060D05"/>
    <w:rsid w:val="000629CC"/>
    <w:rsid w:val="00067005"/>
    <w:rsid w:val="00074A24"/>
    <w:rsid w:val="00082429"/>
    <w:rsid w:val="00083AF8"/>
    <w:rsid w:val="000860C7"/>
    <w:rsid w:val="00087E07"/>
    <w:rsid w:val="0009114D"/>
    <w:rsid w:val="00093B1B"/>
    <w:rsid w:val="00093B76"/>
    <w:rsid w:val="00096511"/>
    <w:rsid w:val="000B231A"/>
    <w:rsid w:val="000C6381"/>
    <w:rsid w:val="000C700C"/>
    <w:rsid w:val="000C7649"/>
    <w:rsid w:val="000D168D"/>
    <w:rsid w:val="000E1FFD"/>
    <w:rsid w:val="000F367C"/>
    <w:rsid w:val="000F3689"/>
    <w:rsid w:val="000F6502"/>
    <w:rsid w:val="00100E4C"/>
    <w:rsid w:val="00104DD5"/>
    <w:rsid w:val="001222DF"/>
    <w:rsid w:val="00136CE4"/>
    <w:rsid w:val="00151D79"/>
    <w:rsid w:val="00152490"/>
    <w:rsid w:val="00157E53"/>
    <w:rsid w:val="00171330"/>
    <w:rsid w:val="00173D8D"/>
    <w:rsid w:val="0018252B"/>
    <w:rsid w:val="00190C89"/>
    <w:rsid w:val="00197EE7"/>
    <w:rsid w:val="001A3F46"/>
    <w:rsid w:val="001C48CC"/>
    <w:rsid w:val="001F082D"/>
    <w:rsid w:val="001F2682"/>
    <w:rsid w:val="00202270"/>
    <w:rsid w:val="0020739F"/>
    <w:rsid w:val="00213854"/>
    <w:rsid w:val="002174E3"/>
    <w:rsid w:val="00222C44"/>
    <w:rsid w:val="00224EEE"/>
    <w:rsid w:val="0022693F"/>
    <w:rsid w:val="002369D2"/>
    <w:rsid w:val="00244C48"/>
    <w:rsid w:val="00255C8D"/>
    <w:rsid w:val="002569B0"/>
    <w:rsid w:val="0026152E"/>
    <w:rsid w:val="00261684"/>
    <w:rsid w:val="00265BE3"/>
    <w:rsid w:val="002702A4"/>
    <w:rsid w:val="0027077C"/>
    <w:rsid w:val="002708EE"/>
    <w:rsid w:val="00285F15"/>
    <w:rsid w:val="0028725E"/>
    <w:rsid w:val="0029011D"/>
    <w:rsid w:val="00290F95"/>
    <w:rsid w:val="002A0C6D"/>
    <w:rsid w:val="002A3C2F"/>
    <w:rsid w:val="002B2859"/>
    <w:rsid w:val="002C09B6"/>
    <w:rsid w:val="002C1A6C"/>
    <w:rsid w:val="002D5D07"/>
    <w:rsid w:val="002E39B3"/>
    <w:rsid w:val="002E63C9"/>
    <w:rsid w:val="002F6ABE"/>
    <w:rsid w:val="0030347D"/>
    <w:rsid w:val="00314E29"/>
    <w:rsid w:val="0031613A"/>
    <w:rsid w:val="003169E1"/>
    <w:rsid w:val="00317F49"/>
    <w:rsid w:val="00330465"/>
    <w:rsid w:val="00337858"/>
    <w:rsid w:val="00347158"/>
    <w:rsid w:val="00350373"/>
    <w:rsid w:val="00357480"/>
    <w:rsid w:val="0036339C"/>
    <w:rsid w:val="003664DA"/>
    <w:rsid w:val="00375074"/>
    <w:rsid w:val="00375F2B"/>
    <w:rsid w:val="0038049B"/>
    <w:rsid w:val="003817AC"/>
    <w:rsid w:val="003838FB"/>
    <w:rsid w:val="003870B9"/>
    <w:rsid w:val="00387483"/>
    <w:rsid w:val="003973BB"/>
    <w:rsid w:val="003B1406"/>
    <w:rsid w:val="003B38CE"/>
    <w:rsid w:val="003C28B6"/>
    <w:rsid w:val="003D78A1"/>
    <w:rsid w:val="003E1655"/>
    <w:rsid w:val="003E6CF7"/>
    <w:rsid w:val="003F0383"/>
    <w:rsid w:val="003F13E9"/>
    <w:rsid w:val="003F59E4"/>
    <w:rsid w:val="003F7F85"/>
    <w:rsid w:val="0040096C"/>
    <w:rsid w:val="00402F44"/>
    <w:rsid w:val="004108EC"/>
    <w:rsid w:val="00421D80"/>
    <w:rsid w:val="004325C5"/>
    <w:rsid w:val="004377D6"/>
    <w:rsid w:val="00443D6E"/>
    <w:rsid w:val="0045272F"/>
    <w:rsid w:val="00453933"/>
    <w:rsid w:val="00454169"/>
    <w:rsid w:val="00463AAF"/>
    <w:rsid w:val="00467EC9"/>
    <w:rsid w:val="00476095"/>
    <w:rsid w:val="0047620E"/>
    <w:rsid w:val="004841B9"/>
    <w:rsid w:val="00484D49"/>
    <w:rsid w:val="00486E1F"/>
    <w:rsid w:val="004955B8"/>
    <w:rsid w:val="0049603F"/>
    <w:rsid w:val="004B4933"/>
    <w:rsid w:val="004B638A"/>
    <w:rsid w:val="004C276D"/>
    <w:rsid w:val="004C277C"/>
    <w:rsid w:val="004C4AB2"/>
    <w:rsid w:val="004C5A34"/>
    <w:rsid w:val="004C7966"/>
    <w:rsid w:val="004D075B"/>
    <w:rsid w:val="004D3122"/>
    <w:rsid w:val="004D488E"/>
    <w:rsid w:val="004E2B42"/>
    <w:rsid w:val="004E3633"/>
    <w:rsid w:val="004F68F5"/>
    <w:rsid w:val="004F7D99"/>
    <w:rsid w:val="005123F9"/>
    <w:rsid w:val="005250D6"/>
    <w:rsid w:val="00525FC8"/>
    <w:rsid w:val="00552430"/>
    <w:rsid w:val="00555737"/>
    <w:rsid w:val="00557680"/>
    <w:rsid w:val="0056025E"/>
    <w:rsid w:val="00564735"/>
    <w:rsid w:val="00571825"/>
    <w:rsid w:val="005731AF"/>
    <w:rsid w:val="0057347E"/>
    <w:rsid w:val="0057448B"/>
    <w:rsid w:val="00575ABB"/>
    <w:rsid w:val="0058530C"/>
    <w:rsid w:val="00586D00"/>
    <w:rsid w:val="00590D93"/>
    <w:rsid w:val="00592722"/>
    <w:rsid w:val="005934E4"/>
    <w:rsid w:val="005962F1"/>
    <w:rsid w:val="005967E8"/>
    <w:rsid w:val="005A6274"/>
    <w:rsid w:val="005B02F9"/>
    <w:rsid w:val="005B0608"/>
    <w:rsid w:val="005B645B"/>
    <w:rsid w:val="005B7C5C"/>
    <w:rsid w:val="005C40A0"/>
    <w:rsid w:val="005D3A4E"/>
    <w:rsid w:val="005E48A1"/>
    <w:rsid w:val="005E5168"/>
    <w:rsid w:val="005F1B19"/>
    <w:rsid w:val="00612344"/>
    <w:rsid w:val="00612672"/>
    <w:rsid w:val="0061450F"/>
    <w:rsid w:val="00621391"/>
    <w:rsid w:val="00623993"/>
    <w:rsid w:val="00624931"/>
    <w:rsid w:val="006249A5"/>
    <w:rsid w:val="00634BEB"/>
    <w:rsid w:val="00653405"/>
    <w:rsid w:val="00655C13"/>
    <w:rsid w:val="00665F36"/>
    <w:rsid w:val="00670BD2"/>
    <w:rsid w:val="00682E6E"/>
    <w:rsid w:val="0068614F"/>
    <w:rsid w:val="006878D4"/>
    <w:rsid w:val="00690A53"/>
    <w:rsid w:val="00692BC8"/>
    <w:rsid w:val="00696751"/>
    <w:rsid w:val="00696D6D"/>
    <w:rsid w:val="006B1A04"/>
    <w:rsid w:val="006C0E61"/>
    <w:rsid w:val="006C69FA"/>
    <w:rsid w:val="006C792E"/>
    <w:rsid w:val="006D26B5"/>
    <w:rsid w:val="006D2B2B"/>
    <w:rsid w:val="006E13F5"/>
    <w:rsid w:val="006E1BC6"/>
    <w:rsid w:val="006E32F9"/>
    <w:rsid w:val="006E5271"/>
    <w:rsid w:val="006F50F6"/>
    <w:rsid w:val="00700AA6"/>
    <w:rsid w:val="00711E40"/>
    <w:rsid w:val="007166FB"/>
    <w:rsid w:val="00720975"/>
    <w:rsid w:val="00720AB7"/>
    <w:rsid w:val="007310A7"/>
    <w:rsid w:val="00740A07"/>
    <w:rsid w:val="0074624C"/>
    <w:rsid w:val="00746787"/>
    <w:rsid w:val="0074778C"/>
    <w:rsid w:val="0075144A"/>
    <w:rsid w:val="00755E59"/>
    <w:rsid w:val="007621FB"/>
    <w:rsid w:val="00763418"/>
    <w:rsid w:val="007641E5"/>
    <w:rsid w:val="00770EC3"/>
    <w:rsid w:val="007909B5"/>
    <w:rsid w:val="00791798"/>
    <w:rsid w:val="00797135"/>
    <w:rsid w:val="007A3886"/>
    <w:rsid w:val="007B04F2"/>
    <w:rsid w:val="007B0A88"/>
    <w:rsid w:val="007B1E78"/>
    <w:rsid w:val="007B4436"/>
    <w:rsid w:val="007C44D7"/>
    <w:rsid w:val="007C525A"/>
    <w:rsid w:val="007C7989"/>
    <w:rsid w:val="007D1026"/>
    <w:rsid w:val="007E58B1"/>
    <w:rsid w:val="007F22D1"/>
    <w:rsid w:val="0080525B"/>
    <w:rsid w:val="0081720A"/>
    <w:rsid w:val="0082062E"/>
    <w:rsid w:val="00824E1D"/>
    <w:rsid w:val="008252CF"/>
    <w:rsid w:val="00846FA4"/>
    <w:rsid w:val="0084717C"/>
    <w:rsid w:val="00854971"/>
    <w:rsid w:val="008571C6"/>
    <w:rsid w:val="00861B3A"/>
    <w:rsid w:val="00886150"/>
    <w:rsid w:val="00893F83"/>
    <w:rsid w:val="008941F1"/>
    <w:rsid w:val="008B6D49"/>
    <w:rsid w:val="008D0703"/>
    <w:rsid w:val="008D661D"/>
    <w:rsid w:val="008D7D31"/>
    <w:rsid w:val="008E7DB9"/>
    <w:rsid w:val="008F1445"/>
    <w:rsid w:val="008F44E7"/>
    <w:rsid w:val="008F5563"/>
    <w:rsid w:val="00907FE2"/>
    <w:rsid w:val="00914B93"/>
    <w:rsid w:val="00920F38"/>
    <w:rsid w:val="00922A40"/>
    <w:rsid w:val="00931513"/>
    <w:rsid w:val="00935861"/>
    <w:rsid w:val="00937D06"/>
    <w:rsid w:val="00940DA7"/>
    <w:rsid w:val="00944036"/>
    <w:rsid w:val="0095113C"/>
    <w:rsid w:val="009533F3"/>
    <w:rsid w:val="0095424D"/>
    <w:rsid w:val="00960755"/>
    <w:rsid w:val="00965CC5"/>
    <w:rsid w:val="0096666C"/>
    <w:rsid w:val="0097056E"/>
    <w:rsid w:val="00980832"/>
    <w:rsid w:val="0099154C"/>
    <w:rsid w:val="00993DD1"/>
    <w:rsid w:val="009A5EEC"/>
    <w:rsid w:val="009A652C"/>
    <w:rsid w:val="009B119F"/>
    <w:rsid w:val="009C1D0C"/>
    <w:rsid w:val="009C25F1"/>
    <w:rsid w:val="009C7334"/>
    <w:rsid w:val="009D3B63"/>
    <w:rsid w:val="009D568E"/>
    <w:rsid w:val="009E25CB"/>
    <w:rsid w:val="009F74A1"/>
    <w:rsid w:val="009F773B"/>
    <w:rsid w:val="00A033AE"/>
    <w:rsid w:val="00A03426"/>
    <w:rsid w:val="00A12D64"/>
    <w:rsid w:val="00A14C8F"/>
    <w:rsid w:val="00A200F0"/>
    <w:rsid w:val="00A34F1E"/>
    <w:rsid w:val="00A36F15"/>
    <w:rsid w:val="00A42441"/>
    <w:rsid w:val="00A424F9"/>
    <w:rsid w:val="00A44F64"/>
    <w:rsid w:val="00A47040"/>
    <w:rsid w:val="00A61630"/>
    <w:rsid w:val="00A616EC"/>
    <w:rsid w:val="00A66191"/>
    <w:rsid w:val="00A66980"/>
    <w:rsid w:val="00A70B2A"/>
    <w:rsid w:val="00A73F08"/>
    <w:rsid w:val="00A77AB5"/>
    <w:rsid w:val="00A831CF"/>
    <w:rsid w:val="00A83438"/>
    <w:rsid w:val="00A87F84"/>
    <w:rsid w:val="00A92B74"/>
    <w:rsid w:val="00A95C47"/>
    <w:rsid w:val="00A97963"/>
    <w:rsid w:val="00AA33E9"/>
    <w:rsid w:val="00AA438B"/>
    <w:rsid w:val="00AA57A0"/>
    <w:rsid w:val="00AA7A17"/>
    <w:rsid w:val="00AA7AA4"/>
    <w:rsid w:val="00AB1DCF"/>
    <w:rsid w:val="00AB25D8"/>
    <w:rsid w:val="00AC3D15"/>
    <w:rsid w:val="00AC4D62"/>
    <w:rsid w:val="00AD020C"/>
    <w:rsid w:val="00AD31DB"/>
    <w:rsid w:val="00AE6976"/>
    <w:rsid w:val="00AF36A6"/>
    <w:rsid w:val="00AF3D98"/>
    <w:rsid w:val="00AF5557"/>
    <w:rsid w:val="00AF7450"/>
    <w:rsid w:val="00AF74F3"/>
    <w:rsid w:val="00B01643"/>
    <w:rsid w:val="00B0250A"/>
    <w:rsid w:val="00B03415"/>
    <w:rsid w:val="00B202F3"/>
    <w:rsid w:val="00B20863"/>
    <w:rsid w:val="00B2754D"/>
    <w:rsid w:val="00B27B0F"/>
    <w:rsid w:val="00B475EF"/>
    <w:rsid w:val="00B509CF"/>
    <w:rsid w:val="00B520F6"/>
    <w:rsid w:val="00B600FA"/>
    <w:rsid w:val="00B6234C"/>
    <w:rsid w:val="00B719B5"/>
    <w:rsid w:val="00B750A9"/>
    <w:rsid w:val="00B8049B"/>
    <w:rsid w:val="00B82C58"/>
    <w:rsid w:val="00B87FF5"/>
    <w:rsid w:val="00BA09E0"/>
    <w:rsid w:val="00BC3DA4"/>
    <w:rsid w:val="00BC5ED9"/>
    <w:rsid w:val="00BD0C5D"/>
    <w:rsid w:val="00BD1892"/>
    <w:rsid w:val="00BE149D"/>
    <w:rsid w:val="00BE419F"/>
    <w:rsid w:val="00BE53D4"/>
    <w:rsid w:val="00C009AF"/>
    <w:rsid w:val="00C150F2"/>
    <w:rsid w:val="00C15649"/>
    <w:rsid w:val="00C163E2"/>
    <w:rsid w:val="00C16FF7"/>
    <w:rsid w:val="00C41243"/>
    <w:rsid w:val="00C42839"/>
    <w:rsid w:val="00C43AB1"/>
    <w:rsid w:val="00C52FFE"/>
    <w:rsid w:val="00C54560"/>
    <w:rsid w:val="00C57430"/>
    <w:rsid w:val="00C76A60"/>
    <w:rsid w:val="00C84803"/>
    <w:rsid w:val="00C8561E"/>
    <w:rsid w:val="00C93F85"/>
    <w:rsid w:val="00C94D83"/>
    <w:rsid w:val="00C95D21"/>
    <w:rsid w:val="00CA11DA"/>
    <w:rsid w:val="00CA3562"/>
    <w:rsid w:val="00CA4544"/>
    <w:rsid w:val="00CB1D6B"/>
    <w:rsid w:val="00CC4C2D"/>
    <w:rsid w:val="00CC4D16"/>
    <w:rsid w:val="00CE4228"/>
    <w:rsid w:val="00CE76F2"/>
    <w:rsid w:val="00CF021F"/>
    <w:rsid w:val="00CF449E"/>
    <w:rsid w:val="00D015B5"/>
    <w:rsid w:val="00D02D41"/>
    <w:rsid w:val="00D050D2"/>
    <w:rsid w:val="00D113D4"/>
    <w:rsid w:val="00D11C5E"/>
    <w:rsid w:val="00D17E39"/>
    <w:rsid w:val="00D20AA0"/>
    <w:rsid w:val="00D20E3A"/>
    <w:rsid w:val="00D30A97"/>
    <w:rsid w:val="00D445B8"/>
    <w:rsid w:val="00D5016A"/>
    <w:rsid w:val="00D64E05"/>
    <w:rsid w:val="00D7419C"/>
    <w:rsid w:val="00D807BB"/>
    <w:rsid w:val="00D93C19"/>
    <w:rsid w:val="00D97267"/>
    <w:rsid w:val="00D97B29"/>
    <w:rsid w:val="00DA183E"/>
    <w:rsid w:val="00DB067B"/>
    <w:rsid w:val="00DB26C1"/>
    <w:rsid w:val="00DB650A"/>
    <w:rsid w:val="00DD012F"/>
    <w:rsid w:val="00DD230E"/>
    <w:rsid w:val="00DD7B51"/>
    <w:rsid w:val="00DE0698"/>
    <w:rsid w:val="00DE1764"/>
    <w:rsid w:val="00DE237E"/>
    <w:rsid w:val="00DE739E"/>
    <w:rsid w:val="00DF5805"/>
    <w:rsid w:val="00E010B9"/>
    <w:rsid w:val="00E12568"/>
    <w:rsid w:val="00E127C0"/>
    <w:rsid w:val="00E16C92"/>
    <w:rsid w:val="00E2022E"/>
    <w:rsid w:val="00E20E3B"/>
    <w:rsid w:val="00E23F50"/>
    <w:rsid w:val="00E3002B"/>
    <w:rsid w:val="00E3744F"/>
    <w:rsid w:val="00E43D38"/>
    <w:rsid w:val="00E4797A"/>
    <w:rsid w:val="00E47B21"/>
    <w:rsid w:val="00E500E4"/>
    <w:rsid w:val="00E5411C"/>
    <w:rsid w:val="00E552CF"/>
    <w:rsid w:val="00E55A87"/>
    <w:rsid w:val="00E56925"/>
    <w:rsid w:val="00E603B2"/>
    <w:rsid w:val="00E64111"/>
    <w:rsid w:val="00E75036"/>
    <w:rsid w:val="00E77D89"/>
    <w:rsid w:val="00E824D8"/>
    <w:rsid w:val="00E82E65"/>
    <w:rsid w:val="00E8481C"/>
    <w:rsid w:val="00E84ED3"/>
    <w:rsid w:val="00E91692"/>
    <w:rsid w:val="00E92A1C"/>
    <w:rsid w:val="00E93D1B"/>
    <w:rsid w:val="00EA333F"/>
    <w:rsid w:val="00EA39A7"/>
    <w:rsid w:val="00EB4E4E"/>
    <w:rsid w:val="00EB6FC4"/>
    <w:rsid w:val="00EC6D38"/>
    <w:rsid w:val="00ED437B"/>
    <w:rsid w:val="00ED5CF0"/>
    <w:rsid w:val="00ED79A2"/>
    <w:rsid w:val="00EE1B2C"/>
    <w:rsid w:val="00EE2F35"/>
    <w:rsid w:val="00EE6D37"/>
    <w:rsid w:val="00F0176B"/>
    <w:rsid w:val="00F05969"/>
    <w:rsid w:val="00F06431"/>
    <w:rsid w:val="00F07B10"/>
    <w:rsid w:val="00F1060E"/>
    <w:rsid w:val="00F141C9"/>
    <w:rsid w:val="00F2029B"/>
    <w:rsid w:val="00F255F4"/>
    <w:rsid w:val="00F339BA"/>
    <w:rsid w:val="00F3647D"/>
    <w:rsid w:val="00F4093D"/>
    <w:rsid w:val="00F41A62"/>
    <w:rsid w:val="00F51C41"/>
    <w:rsid w:val="00F546A7"/>
    <w:rsid w:val="00F62E3F"/>
    <w:rsid w:val="00F73DDC"/>
    <w:rsid w:val="00F8127B"/>
    <w:rsid w:val="00F927B4"/>
    <w:rsid w:val="00F95C48"/>
    <w:rsid w:val="00FA091E"/>
    <w:rsid w:val="00FA58DF"/>
    <w:rsid w:val="00FB7E6D"/>
    <w:rsid w:val="00FE31A6"/>
    <w:rsid w:val="00FE53F4"/>
    <w:rsid w:val="00FE67FA"/>
    <w:rsid w:val="00FF43CB"/>
    <w:rsid w:val="00FF7FFA"/>
  </w:rsids>
  <m:mathPr>
    <m:mathFont m:val="Cambria Math"/>
    <m:brkBin m:val="before"/>
    <m:brkBinSub m:val="--"/>
    <m:smallFrac/>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D4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P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3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391"/>
    <w:rPr>
      <w:rFonts w:ascii="Lucida Grande" w:hAnsi="Lucida Grande" w:cs="Lucida Grande"/>
      <w:sz w:val="18"/>
      <w:szCs w:val="18"/>
    </w:rPr>
  </w:style>
  <w:style w:type="paragraph" w:styleId="FootnoteText">
    <w:name w:val="footnote text"/>
    <w:basedOn w:val="Normal"/>
    <w:link w:val="FootnoteTextChar"/>
    <w:uiPriority w:val="99"/>
    <w:unhideWhenUsed/>
    <w:rsid w:val="00634BEB"/>
  </w:style>
  <w:style w:type="character" w:customStyle="1" w:styleId="FootnoteTextChar">
    <w:name w:val="Footnote Text Char"/>
    <w:basedOn w:val="DefaultParagraphFont"/>
    <w:link w:val="FootnoteText"/>
    <w:uiPriority w:val="99"/>
    <w:rsid w:val="00634BEB"/>
  </w:style>
  <w:style w:type="character" w:styleId="FootnoteReference">
    <w:name w:val="footnote reference"/>
    <w:basedOn w:val="DefaultParagraphFont"/>
    <w:uiPriority w:val="99"/>
    <w:unhideWhenUsed/>
    <w:rsid w:val="00634BEB"/>
    <w:rPr>
      <w:vertAlign w:val="superscript"/>
    </w:rPr>
  </w:style>
  <w:style w:type="character" w:styleId="CommentReference">
    <w:name w:val="annotation reference"/>
    <w:basedOn w:val="DefaultParagraphFont"/>
    <w:uiPriority w:val="99"/>
    <w:semiHidden/>
    <w:unhideWhenUsed/>
    <w:rsid w:val="00100E4C"/>
    <w:rPr>
      <w:sz w:val="18"/>
      <w:szCs w:val="18"/>
    </w:rPr>
  </w:style>
  <w:style w:type="paragraph" w:styleId="CommentText">
    <w:name w:val="annotation text"/>
    <w:basedOn w:val="Normal"/>
    <w:link w:val="CommentTextChar"/>
    <w:uiPriority w:val="99"/>
    <w:semiHidden/>
    <w:unhideWhenUsed/>
    <w:rsid w:val="00100E4C"/>
  </w:style>
  <w:style w:type="character" w:customStyle="1" w:styleId="CommentTextChar">
    <w:name w:val="Comment Text Char"/>
    <w:basedOn w:val="DefaultParagraphFont"/>
    <w:link w:val="CommentText"/>
    <w:uiPriority w:val="99"/>
    <w:semiHidden/>
    <w:rsid w:val="00100E4C"/>
  </w:style>
  <w:style w:type="paragraph" w:styleId="CommentSubject">
    <w:name w:val="annotation subject"/>
    <w:basedOn w:val="CommentText"/>
    <w:next w:val="CommentText"/>
    <w:link w:val="CommentSubjectChar"/>
    <w:uiPriority w:val="99"/>
    <w:semiHidden/>
    <w:unhideWhenUsed/>
    <w:rsid w:val="00100E4C"/>
    <w:rPr>
      <w:b/>
      <w:bCs/>
      <w:sz w:val="20"/>
      <w:szCs w:val="20"/>
    </w:rPr>
  </w:style>
  <w:style w:type="character" w:customStyle="1" w:styleId="CommentSubjectChar">
    <w:name w:val="Comment Subject Char"/>
    <w:basedOn w:val="CommentTextChar"/>
    <w:link w:val="CommentSubject"/>
    <w:uiPriority w:val="99"/>
    <w:semiHidden/>
    <w:rsid w:val="00100E4C"/>
    <w:rPr>
      <w:b/>
      <w:bCs/>
      <w:sz w:val="20"/>
      <w:szCs w:val="20"/>
    </w:rPr>
  </w:style>
  <w:style w:type="paragraph" w:styleId="ListParagraph">
    <w:name w:val="List Paragraph"/>
    <w:basedOn w:val="Normal"/>
    <w:uiPriority w:val="34"/>
    <w:qFormat/>
    <w:rsid w:val="002A3C2F"/>
    <w:pPr>
      <w:ind w:left="720"/>
      <w:contextualSpacing/>
    </w:pPr>
  </w:style>
  <w:style w:type="paragraph" w:styleId="Footer">
    <w:name w:val="footer"/>
    <w:basedOn w:val="Normal"/>
    <w:link w:val="FooterChar"/>
    <w:uiPriority w:val="99"/>
    <w:unhideWhenUsed/>
    <w:rsid w:val="00670BD2"/>
    <w:pPr>
      <w:tabs>
        <w:tab w:val="center" w:pos="4320"/>
        <w:tab w:val="right" w:pos="8640"/>
      </w:tabs>
    </w:pPr>
  </w:style>
  <w:style w:type="character" w:customStyle="1" w:styleId="FooterChar">
    <w:name w:val="Footer Char"/>
    <w:basedOn w:val="DefaultParagraphFont"/>
    <w:link w:val="Footer"/>
    <w:uiPriority w:val="99"/>
    <w:rsid w:val="00670BD2"/>
  </w:style>
  <w:style w:type="character" w:styleId="PageNumber">
    <w:name w:val="page number"/>
    <w:basedOn w:val="DefaultParagraphFont"/>
    <w:uiPriority w:val="99"/>
    <w:semiHidden/>
    <w:unhideWhenUsed/>
    <w:rsid w:val="00670BD2"/>
  </w:style>
  <w:style w:type="character" w:styleId="EndnoteReference">
    <w:name w:val="endnote reference"/>
    <w:basedOn w:val="DefaultParagraphFont"/>
    <w:uiPriority w:val="99"/>
    <w:semiHidden/>
    <w:unhideWhenUsed/>
    <w:rsid w:val="002569B0"/>
    <w:rPr>
      <w:vertAlign w:val="superscript"/>
    </w:rPr>
  </w:style>
  <w:style w:type="paragraph" w:styleId="Header">
    <w:name w:val="header"/>
    <w:basedOn w:val="Normal"/>
    <w:link w:val="HeaderChar"/>
    <w:uiPriority w:val="99"/>
    <w:unhideWhenUsed/>
    <w:rsid w:val="00ED5CF0"/>
    <w:pPr>
      <w:tabs>
        <w:tab w:val="center" w:pos="4320"/>
        <w:tab w:val="right" w:pos="8640"/>
      </w:tabs>
    </w:pPr>
  </w:style>
  <w:style w:type="character" w:customStyle="1" w:styleId="HeaderChar">
    <w:name w:val="Header Char"/>
    <w:basedOn w:val="DefaultParagraphFont"/>
    <w:link w:val="Header"/>
    <w:uiPriority w:val="99"/>
    <w:rsid w:val="00ED5CF0"/>
  </w:style>
  <w:style w:type="paragraph" w:styleId="Caption">
    <w:name w:val="caption"/>
    <w:basedOn w:val="Normal"/>
    <w:next w:val="Normal"/>
    <w:uiPriority w:val="35"/>
    <w:unhideWhenUsed/>
    <w:qFormat/>
    <w:rsid w:val="007310A7"/>
    <w:pPr>
      <w:spacing w:after="200"/>
    </w:pPr>
    <w:rPr>
      <w:b/>
      <w:bCs/>
      <w:color w:val="4F81BD" w:themeColor="accent1"/>
      <w:sz w:val="18"/>
      <w:szCs w:val="18"/>
    </w:rPr>
  </w:style>
  <w:style w:type="table" w:styleId="TableGrid">
    <w:name w:val="Table Grid"/>
    <w:basedOn w:val="TableNormal"/>
    <w:uiPriority w:val="59"/>
    <w:rsid w:val="00AA3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ltraduztrad">
    <w:name w:val="doltraduztrad"/>
    <w:basedOn w:val="DefaultParagraphFont"/>
    <w:rsid w:val="000503D9"/>
  </w:style>
  <w:style w:type="character" w:styleId="Hyperlink">
    <w:name w:val="Hyperlink"/>
    <w:basedOn w:val="DefaultParagraphFont"/>
    <w:uiPriority w:val="99"/>
    <w:unhideWhenUsed/>
    <w:rsid w:val="0047620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3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391"/>
    <w:rPr>
      <w:rFonts w:ascii="Lucida Grande" w:hAnsi="Lucida Grande" w:cs="Lucida Grande"/>
      <w:sz w:val="18"/>
      <w:szCs w:val="18"/>
    </w:rPr>
  </w:style>
  <w:style w:type="paragraph" w:styleId="FootnoteText">
    <w:name w:val="footnote text"/>
    <w:basedOn w:val="Normal"/>
    <w:link w:val="FootnoteTextChar"/>
    <w:uiPriority w:val="99"/>
    <w:unhideWhenUsed/>
    <w:rsid w:val="00634BEB"/>
  </w:style>
  <w:style w:type="character" w:customStyle="1" w:styleId="FootnoteTextChar">
    <w:name w:val="Footnote Text Char"/>
    <w:basedOn w:val="DefaultParagraphFont"/>
    <w:link w:val="FootnoteText"/>
    <w:uiPriority w:val="99"/>
    <w:rsid w:val="00634BEB"/>
  </w:style>
  <w:style w:type="character" w:styleId="FootnoteReference">
    <w:name w:val="footnote reference"/>
    <w:basedOn w:val="DefaultParagraphFont"/>
    <w:uiPriority w:val="99"/>
    <w:unhideWhenUsed/>
    <w:rsid w:val="00634BEB"/>
    <w:rPr>
      <w:vertAlign w:val="superscript"/>
    </w:rPr>
  </w:style>
  <w:style w:type="character" w:styleId="CommentReference">
    <w:name w:val="annotation reference"/>
    <w:basedOn w:val="DefaultParagraphFont"/>
    <w:uiPriority w:val="99"/>
    <w:semiHidden/>
    <w:unhideWhenUsed/>
    <w:rsid w:val="00100E4C"/>
    <w:rPr>
      <w:sz w:val="18"/>
      <w:szCs w:val="18"/>
    </w:rPr>
  </w:style>
  <w:style w:type="paragraph" w:styleId="CommentText">
    <w:name w:val="annotation text"/>
    <w:basedOn w:val="Normal"/>
    <w:link w:val="CommentTextChar"/>
    <w:uiPriority w:val="99"/>
    <w:semiHidden/>
    <w:unhideWhenUsed/>
    <w:rsid w:val="00100E4C"/>
  </w:style>
  <w:style w:type="character" w:customStyle="1" w:styleId="CommentTextChar">
    <w:name w:val="Comment Text Char"/>
    <w:basedOn w:val="DefaultParagraphFont"/>
    <w:link w:val="CommentText"/>
    <w:uiPriority w:val="99"/>
    <w:semiHidden/>
    <w:rsid w:val="00100E4C"/>
  </w:style>
  <w:style w:type="paragraph" w:styleId="CommentSubject">
    <w:name w:val="annotation subject"/>
    <w:basedOn w:val="CommentText"/>
    <w:next w:val="CommentText"/>
    <w:link w:val="CommentSubjectChar"/>
    <w:uiPriority w:val="99"/>
    <w:semiHidden/>
    <w:unhideWhenUsed/>
    <w:rsid w:val="00100E4C"/>
    <w:rPr>
      <w:b/>
      <w:bCs/>
      <w:sz w:val="20"/>
      <w:szCs w:val="20"/>
    </w:rPr>
  </w:style>
  <w:style w:type="character" w:customStyle="1" w:styleId="CommentSubjectChar">
    <w:name w:val="Comment Subject Char"/>
    <w:basedOn w:val="CommentTextChar"/>
    <w:link w:val="CommentSubject"/>
    <w:uiPriority w:val="99"/>
    <w:semiHidden/>
    <w:rsid w:val="00100E4C"/>
    <w:rPr>
      <w:b/>
      <w:bCs/>
      <w:sz w:val="20"/>
      <w:szCs w:val="20"/>
    </w:rPr>
  </w:style>
  <w:style w:type="paragraph" w:styleId="ListParagraph">
    <w:name w:val="List Paragraph"/>
    <w:basedOn w:val="Normal"/>
    <w:uiPriority w:val="34"/>
    <w:qFormat/>
    <w:rsid w:val="002A3C2F"/>
    <w:pPr>
      <w:ind w:left="720"/>
      <w:contextualSpacing/>
    </w:pPr>
  </w:style>
  <w:style w:type="paragraph" w:styleId="Footer">
    <w:name w:val="footer"/>
    <w:basedOn w:val="Normal"/>
    <w:link w:val="FooterChar"/>
    <w:uiPriority w:val="99"/>
    <w:unhideWhenUsed/>
    <w:rsid w:val="00670BD2"/>
    <w:pPr>
      <w:tabs>
        <w:tab w:val="center" w:pos="4320"/>
        <w:tab w:val="right" w:pos="8640"/>
      </w:tabs>
    </w:pPr>
  </w:style>
  <w:style w:type="character" w:customStyle="1" w:styleId="FooterChar">
    <w:name w:val="Footer Char"/>
    <w:basedOn w:val="DefaultParagraphFont"/>
    <w:link w:val="Footer"/>
    <w:uiPriority w:val="99"/>
    <w:rsid w:val="00670BD2"/>
  </w:style>
  <w:style w:type="character" w:styleId="PageNumber">
    <w:name w:val="page number"/>
    <w:basedOn w:val="DefaultParagraphFont"/>
    <w:uiPriority w:val="99"/>
    <w:semiHidden/>
    <w:unhideWhenUsed/>
    <w:rsid w:val="00670BD2"/>
  </w:style>
  <w:style w:type="character" w:styleId="EndnoteReference">
    <w:name w:val="endnote reference"/>
    <w:basedOn w:val="DefaultParagraphFont"/>
    <w:uiPriority w:val="99"/>
    <w:semiHidden/>
    <w:unhideWhenUsed/>
    <w:rsid w:val="002569B0"/>
    <w:rPr>
      <w:vertAlign w:val="superscript"/>
    </w:rPr>
  </w:style>
  <w:style w:type="paragraph" w:styleId="Header">
    <w:name w:val="header"/>
    <w:basedOn w:val="Normal"/>
    <w:link w:val="HeaderChar"/>
    <w:uiPriority w:val="99"/>
    <w:unhideWhenUsed/>
    <w:rsid w:val="00ED5CF0"/>
    <w:pPr>
      <w:tabs>
        <w:tab w:val="center" w:pos="4320"/>
        <w:tab w:val="right" w:pos="8640"/>
      </w:tabs>
    </w:pPr>
  </w:style>
  <w:style w:type="character" w:customStyle="1" w:styleId="HeaderChar">
    <w:name w:val="Header Char"/>
    <w:basedOn w:val="DefaultParagraphFont"/>
    <w:link w:val="Header"/>
    <w:uiPriority w:val="99"/>
    <w:rsid w:val="00ED5CF0"/>
  </w:style>
  <w:style w:type="paragraph" w:styleId="Caption">
    <w:name w:val="caption"/>
    <w:basedOn w:val="Normal"/>
    <w:next w:val="Normal"/>
    <w:uiPriority w:val="35"/>
    <w:unhideWhenUsed/>
    <w:qFormat/>
    <w:rsid w:val="007310A7"/>
    <w:pPr>
      <w:spacing w:after="200"/>
    </w:pPr>
    <w:rPr>
      <w:b/>
      <w:bCs/>
      <w:color w:val="4F81BD" w:themeColor="accent1"/>
      <w:sz w:val="18"/>
      <w:szCs w:val="18"/>
    </w:rPr>
  </w:style>
  <w:style w:type="table" w:styleId="TableGrid">
    <w:name w:val="Table Grid"/>
    <w:basedOn w:val="TableNormal"/>
    <w:uiPriority w:val="59"/>
    <w:rsid w:val="00AA3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ltraduztrad">
    <w:name w:val="doltraduztrad"/>
    <w:basedOn w:val="DefaultParagraphFont"/>
    <w:rsid w:val="000503D9"/>
  </w:style>
  <w:style w:type="character" w:styleId="Hyperlink">
    <w:name w:val="Hyperlink"/>
    <w:basedOn w:val="DefaultParagraphFont"/>
    <w:uiPriority w:val="99"/>
    <w:unhideWhenUsed/>
    <w:rsid w:val="004762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137172">
      <w:bodyDiv w:val="1"/>
      <w:marLeft w:val="0"/>
      <w:marRight w:val="0"/>
      <w:marTop w:val="0"/>
      <w:marBottom w:val="0"/>
      <w:divBdr>
        <w:top w:val="none" w:sz="0" w:space="0" w:color="auto"/>
        <w:left w:val="none" w:sz="0" w:space="0" w:color="auto"/>
        <w:bottom w:val="none" w:sz="0" w:space="0" w:color="auto"/>
        <w:right w:val="none" w:sz="0" w:space="0" w:color="auto"/>
      </w:divBdr>
    </w:div>
    <w:div w:id="896286576">
      <w:bodyDiv w:val="1"/>
      <w:marLeft w:val="0"/>
      <w:marRight w:val="0"/>
      <w:marTop w:val="0"/>
      <w:marBottom w:val="0"/>
      <w:divBdr>
        <w:top w:val="none" w:sz="0" w:space="0" w:color="auto"/>
        <w:left w:val="none" w:sz="0" w:space="0" w:color="auto"/>
        <w:bottom w:val="none" w:sz="0" w:space="0" w:color="auto"/>
        <w:right w:val="none" w:sz="0" w:space="0" w:color="auto"/>
      </w:divBdr>
    </w:div>
    <w:div w:id="1144547485">
      <w:bodyDiv w:val="1"/>
      <w:marLeft w:val="0"/>
      <w:marRight w:val="0"/>
      <w:marTop w:val="0"/>
      <w:marBottom w:val="0"/>
      <w:divBdr>
        <w:top w:val="none" w:sz="0" w:space="0" w:color="auto"/>
        <w:left w:val="none" w:sz="0" w:space="0" w:color="auto"/>
        <w:bottom w:val="none" w:sz="0" w:space="0" w:color="auto"/>
        <w:right w:val="none" w:sz="0" w:space="0" w:color="auto"/>
      </w:divBdr>
    </w:div>
    <w:div w:id="2136018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cgomes@ua.pt"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chart" Target="charts/chart1.xml"/><Relationship Id="rId11" Type="http://schemas.openxmlformats.org/officeDocument/2006/relationships/chart" Target="charts/chart2.xml"/><Relationship Id="rId12" Type="http://schemas.openxmlformats.org/officeDocument/2006/relationships/chart" Target="charts/chart3.xml"/><Relationship Id="rId13" Type="http://schemas.openxmlformats.org/officeDocument/2006/relationships/chart" Target="charts/chart4.xm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chart" Target="charts/chart5.xml"/><Relationship Id="rId17" Type="http://schemas.openxmlformats.org/officeDocument/2006/relationships/chart" Target="charts/chart6.xml"/><Relationship Id="rId18" Type="http://schemas.openxmlformats.org/officeDocument/2006/relationships/chart" Target="charts/chart7.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Ren&#233;e\Travail\TRADUCTION\ih\CRISTINA\2016\Traduction%20AIDELF.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mariacristinasousagomes:Documents:Maria%20Cristina:Documents:Confer&#234;ncias:2016AIDELF:DadosApresentacao:Dimensao-media-das-familias-segundo-os-Cens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mariacristinasousagomes:Documents:Maria%20Cristina:Documents:Confer&#234;ncias:2016AIDELF:DadosApresentacao:composica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mariacristinasousagomes:Documents:Maria%20Cristina:Documents:Confer&#234;ncias:2016AIDELF:DadosApresentacao:familiasUnipessoa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mariacristinasousagomes:Documents:Maria%20Cristina:Documents:Confer&#234;ncias:2016AIDELF:DadosApresentacao:composic&#807;a&#771;on&#18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mariacristinasousagomes:Documents:Maria%20Cristina:Documents:Confer&#234;ncias:2016AIDELF:QuadrosBaseFMudaram:ConcelhosF_idad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mariacristinasousagomes:Documents:Maria%20Cristina:Documents:Confer&#234;ncias:2016AIDELF:QuadrosBaseFMudaram:N3_Fmudaramresidencia_CP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mariacristinasousagomes:Documents:Maria%20Cristina:Documents:Confer&#234;ncias:2016AIDELF:P248549887%20RES2011cer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Folha1!$C$9</c:f>
              <c:strCache>
                <c:ptCount val="1"/>
                <c:pt idx="0">
                  <c:v>Familles</c:v>
                </c:pt>
              </c:strCache>
            </c:strRef>
          </c:tx>
          <c:marker>
            <c:symbol val="none"/>
          </c:marker>
          <c:cat>
            <c:numRef>
              <c:f>Folha1!$B$10:$B$15</c:f>
              <c:numCache>
                <c:formatCode>General</c:formatCode>
                <c:ptCount val="6"/>
                <c:pt idx="0">
                  <c:v>1960.0</c:v>
                </c:pt>
                <c:pt idx="1">
                  <c:v>1970.0</c:v>
                </c:pt>
                <c:pt idx="2">
                  <c:v>1981.0</c:v>
                </c:pt>
                <c:pt idx="3">
                  <c:v>1991.0</c:v>
                </c:pt>
                <c:pt idx="4">
                  <c:v>2001.0</c:v>
                </c:pt>
                <c:pt idx="5">
                  <c:v>2011.0</c:v>
                </c:pt>
              </c:numCache>
            </c:numRef>
          </c:cat>
          <c:val>
            <c:numRef>
              <c:f>Folha1!$C$10:$C$15</c:f>
              <c:numCache>
                <c:formatCode>\ ##\ ##0;\ \-##\ ##0</c:formatCode>
                <c:ptCount val="6"/>
                <c:pt idx="0">
                  <c:v>2.356982E6</c:v>
                </c:pt>
                <c:pt idx="1">
                  <c:v>2.345225E6</c:v>
                </c:pt>
                <c:pt idx="2">
                  <c:v>2.924443E6</c:v>
                </c:pt>
                <c:pt idx="3">
                  <c:v>3.147403E6</c:v>
                </c:pt>
                <c:pt idx="4">
                  <c:v>3.650757E6</c:v>
                </c:pt>
                <c:pt idx="5">
                  <c:v>4.043726E6</c:v>
                </c:pt>
              </c:numCache>
            </c:numRef>
          </c:val>
          <c:smooth val="0"/>
          <c:extLst xmlns:c16r2="http://schemas.microsoft.com/office/drawing/2015/06/chart">
            <c:ext xmlns:c16="http://schemas.microsoft.com/office/drawing/2014/chart" uri="{C3380CC4-5D6E-409C-BE32-E72D297353CC}">
              <c16:uniqueId val="{00000000-B335-4C1E-BB93-E4A53584864B}"/>
            </c:ext>
          </c:extLst>
        </c:ser>
        <c:dLbls>
          <c:showLegendKey val="0"/>
          <c:showVal val="0"/>
          <c:showCatName val="0"/>
          <c:showSerName val="0"/>
          <c:showPercent val="0"/>
          <c:showBubbleSize val="0"/>
        </c:dLbls>
        <c:marker val="1"/>
        <c:smooth val="0"/>
        <c:axId val="-2042196168"/>
        <c:axId val="-2029689464"/>
      </c:lineChart>
      <c:lineChart>
        <c:grouping val="standard"/>
        <c:varyColors val="0"/>
        <c:ser>
          <c:idx val="1"/>
          <c:order val="1"/>
          <c:tx>
            <c:strRef>
              <c:f>Folha1!$D$9</c:f>
              <c:strCache>
                <c:ptCount val="1"/>
                <c:pt idx="0">
                  <c:v>Taille moyenne des familles</c:v>
                </c:pt>
              </c:strCache>
            </c:strRef>
          </c:tx>
          <c:marker>
            <c:symbol val="none"/>
          </c:marker>
          <c:cat>
            <c:numRef>
              <c:f>Folha1!$B$10:$B$15</c:f>
              <c:numCache>
                <c:formatCode>General</c:formatCode>
                <c:ptCount val="6"/>
                <c:pt idx="0">
                  <c:v>1960.0</c:v>
                </c:pt>
                <c:pt idx="1">
                  <c:v>1970.0</c:v>
                </c:pt>
                <c:pt idx="2">
                  <c:v>1981.0</c:v>
                </c:pt>
                <c:pt idx="3">
                  <c:v>1991.0</c:v>
                </c:pt>
                <c:pt idx="4">
                  <c:v>2001.0</c:v>
                </c:pt>
                <c:pt idx="5">
                  <c:v>2011.0</c:v>
                </c:pt>
              </c:numCache>
            </c:numRef>
          </c:cat>
          <c:val>
            <c:numRef>
              <c:f>Folha1!$D$10:$D$15</c:f>
              <c:numCache>
                <c:formatCode>\ ##\ ##0.0;\ \-##\ ##0.0</c:formatCode>
                <c:ptCount val="6"/>
                <c:pt idx="0">
                  <c:v>3.7</c:v>
                </c:pt>
                <c:pt idx="1">
                  <c:v>3.7</c:v>
                </c:pt>
                <c:pt idx="2">
                  <c:v>3.3</c:v>
                </c:pt>
                <c:pt idx="3">
                  <c:v>3.1</c:v>
                </c:pt>
                <c:pt idx="4">
                  <c:v>2.8</c:v>
                </c:pt>
                <c:pt idx="5">
                  <c:v>2.6</c:v>
                </c:pt>
              </c:numCache>
            </c:numRef>
          </c:val>
          <c:smooth val="0"/>
          <c:extLst xmlns:c16r2="http://schemas.microsoft.com/office/drawing/2015/06/chart">
            <c:ext xmlns:c16="http://schemas.microsoft.com/office/drawing/2014/chart" uri="{C3380CC4-5D6E-409C-BE32-E72D297353CC}">
              <c16:uniqueId val="{00000001-B335-4C1E-BB93-E4A53584864B}"/>
            </c:ext>
          </c:extLst>
        </c:ser>
        <c:dLbls>
          <c:showLegendKey val="0"/>
          <c:showVal val="0"/>
          <c:showCatName val="0"/>
          <c:showSerName val="0"/>
          <c:showPercent val="0"/>
          <c:showBubbleSize val="0"/>
        </c:dLbls>
        <c:marker val="1"/>
        <c:smooth val="0"/>
        <c:axId val="-2046006216"/>
        <c:axId val="-2041450424"/>
      </c:lineChart>
      <c:catAx>
        <c:axId val="-2042196168"/>
        <c:scaling>
          <c:orientation val="minMax"/>
        </c:scaling>
        <c:delete val="0"/>
        <c:axPos val="b"/>
        <c:numFmt formatCode="General" sourceLinked="1"/>
        <c:majorTickMark val="out"/>
        <c:minorTickMark val="none"/>
        <c:tickLblPos val="nextTo"/>
        <c:txPr>
          <a:bodyPr/>
          <a:lstStyle/>
          <a:p>
            <a:pPr>
              <a:defRPr sz="800"/>
            </a:pPr>
            <a:endParaRPr lang="en-US"/>
          </a:p>
        </c:txPr>
        <c:crossAx val="-2029689464"/>
        <c:crosses val="autoZero"/>
        <c:auto val="1"/>
        <c:lblAlgn val="ctr"/>
        <c:lblOffset val="100"/>
        <c:noMultiLvlLbl val="0"/>
      </c:catAx>
      <c:valAx>
        <c:axId val="-2029689464"/>
        <c:scaling>
          <c:orientation val="minMax"/>
        </c:scaling>
        <c:delete val="0"/>
        <c:axPos val="l"/>
        <c:majorGridlines/>
        <c:numFmt formatCode="\ ##\ ##0;\ \-##\ ##0" sourceLinked="1"/>
        <c:majorTickMark val="out"/>
        <c:minorTickMark val="none"/>
        <c:tickLblPos val="nextTo"/>
        <c:crossAx val="-2042196168"/>
        <c:crosses val="autoZero"/>
        <c:crossBetween val="between"/>
      </c:valAx>
      <c:valAx>
        <c:axId val="-2041450424"/>
        <c:scaling>
          <c:orientation val="minMax"/>
        </c:scaling>
        <c:delete val="0"/>
        <c:axPos val="r"/>
        <c:numFmt formatCode="\ ##\ ##0.0;\ \-##\ ##0.0" sourceLinked="1"/>
        <c:majorTickMark val="out"/>
        <c:minorTickMark val="none"/>
        <c:tickLblPos val="nextTo"/>
        <c:crossAx val="-2046006216"/>
        <c:crosses val="max"/>
        <c:crossBetween val="between"/>
      </c:valAx>
      <c:catAx>
        <c:axId val="-2046006216"/>
        <c:scaling>
          <c:orientation val="minMax"/>
        </c:scaling>
        <c:delete val="1"/>
        <c:axPos val="b"/>
        <c:numFmt formatCode="General" sourceLinked="1"/>
        <c:majorTickMark val="out"/>
        <c:minorTickMark val="none"/>
        <c:tickLblPos val="nextTo"/>
        <c:crossAx val="-2041450424"/>
        <c:crosses val="autoZero"/>
        <c:auto val="1"/>
        <c:lblAlgn val="ctr"/>
        <c:lblOffset val="100"/>
        <c:noMultiLvlLbl val="0"/>
      </c:catAx>
    </c:plotArea>
    <c:legend>
      <c:legendPos val="r"/>
      <c:layout>
        <c:manualLayout>
          <c:xMode val="edge"/>
          <c:yMode val="edge"/>
          <c:x val="0.672510936132983"/>
          <c:y val="0.423775803362418"/>
          <c:w val="0.21379397342774"/>
          <c:h val="0.233529474356246"/>
        </c:manualLayout>
      </c:layout>
      <c:overlay val="0"/>
      <c:txPr>
        <a:bodyPr/>
        <a:lstStyle/>
        <a:p>
          <a:pPr>
            <a:defRPr sz="80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38764562324446"/>
          <c:y val="0.0555555555555555"/>
          <c:w val="0.756734658167729"/>
          <c:h val="0.677241739013392"/>
        </c:manualLayout>
      </c:layout>
      <c:barChart>
        <c:barDir val="col"/>
        <c:grouping val="clustered"/>
        <c:varyColors val="0"/>
        <c:ser>
          <c:idx val="0"/>
          <c:order val="0"/>
          <c:tx>
            <c:strRef>
              <c:f>Folha1!$C$44</c:f>
              <c:strCache>
                <c:ptCount val="1"/>
                <c:pt idx="0">
                  <c:v>1992</c:v>
                </c:pt>
              </c:strCache>
            </c:strRef>
          </c:tx>
          <c:invertIfNegative val="0"/>
          <c:cat>
            <c:strRef>
              <c:f>Folha1!$D$43:$I$43</c:f>
              <c:strCache>
                <c:ptCount val="4"/>
                <c:pt idx="0">
                  <c:v>1 individu(%)</c:v>
                </c:pt>
                <c:pt idx="1">
                  <c:v>Couple sans enfant (%)</c:v>
                </c:pt>
                <c:pt idx="2">
                  <c:v>Couple avec enfants (%)</c:v>
                </c:pt>
                <c:pt idx="3">
                  <c:v>Famille monoparentale (%)</c:v>
                </c:pt>
              </c:strCache>
            </c:strRef>
          </c:cat>
          <c:val>
            <c:numRef>
              <c:f>Folha1!$D$44:$I$44</c:f>
              <c:numCache>
                <c:formatCode>0.0</c:formatCode>
                <c:ptCount val="6"/>
                <c:pt idx="0">
                  <c:v>12.51926968852717</c:v>
                </c:pt>
                <c:pt idx="1">
                  <c:v>20.14628629740421</c:v>
                </c:pt>
                <c:pt idx="2">
                  <c:v>45.45664689530509</c:v>
                </c:pt>
                <c:pt idx="3">
                  <c:v>6.335982478000274</c:v>
                </c:pt>
              </c:numCache>
            </c:numRef>
          </c:val>
          <c:extLst xmlns:c16r2="http://schemas.microsoft.com/office/drawing/2015/06/chart">
            <c:ext xmlns:c16="http://schemas.microsoft.com/office/drawing/2014/chart" uri="{C3380CC4-5D6E-409C-BE32-E72D297353CC}">
              <c16:uniqueId val="{00000000-BDB1-45A8-AD79-820EE6634C5D}"/>
            </c:ext>
          </c:extLst>
        </c:ser>
        <c:ser>
          <c:idx val="1"/>
          <c:order val="1"/>
          <c:tx>
            <c:strRef>
              <c:f>Folha1!$C$45</c:f>
              <c:strCache>
                <c:ptCount val="1"/>
                <c:pt idx="0">
                  <c:v>2001</c:v>
                </c:pt>
              </c:strCache>
            </c:strRef>
          </c:tx>
          <c:invertIfNegative val="0"/>
          <c:cat>
            <c:strRef>
              <c:f>Folha1!$D$43:$I$43</c:f>
              <c:strCache>
                <c:ptCount val="4"/>
                <c:pt idx="0">
                  <c:v>1 individu(%)</c:v>
                </c:pt>
                <c:pt idx="1">
                  <c:v>Couple sans enfant (%)</c:v>
                </c:pt>
                <c:pt idx="2">
                  <c:v>Couple avec enfants (%)</c:v>
                </c:pt>
                <c:pt idx="3">
                  <c:v>Famille monoparentale (%)</c:v>
                </c:pt>
              </c:strCache>
            </c:strRef>
          </c:cat>
          <c:val>
            <c:numRef>
              <c:f>Folha1!$D$45:$I$45</c:f>
              <c:numCache>
                <c:formatCode>0.0</c:formatCode>
                <c:ptCount val="6"/>
                <c:pt idx="0">
                  <c:v>15.33931887413355</c:v>
                </c:pt>
                <c:pt idx="1">
                  <c:v>20.0761617192475</c:v>
                </c:pt>
                <c:pt idx="2">
                  <c:v>43.25667961331548</c:v>
                </c:pt>
                <c:pt idx="3">
                  <c:v>7.695229419959205</c:v>
                </c:pt>
              </c:numCache>
            </c:numRef>
          </c:val>
          <c:extLst xmlns:c16r2="http://schemas.microsoft.com/office/drawing/2015/06/chart">
            <c:ext xmlns:c16="http://schemas.microsoft.com/office/drawing/2014/chart" uri="{C3380CC4-5D6E-409C-BE32-E72D297353CC}">
              <c16:uniqueId val="{00000001-BDB1-45A8-AD79-820EE6634C5D}"/>
            </c:ext>
          </c:extLst>
        </c:ser>
        <c:ser>
          <c:idx val="2"/>
          <c:order val="2"/>
          <c:tx>
            <c:strRef>
              <c:f>Folha1!$C$46</c:f>
              <c:strCache>
                <c:ptCount val="1"/>
                <c:pt idx="0">
                  <c:v>2010</c:v>
                </c:pt>
              </c:strCache>
            </c:strRef>
          </c:tx>
          <c:invertIfNegative val="0"/>
          <c:cat>
            <c:strRef>
              <c:f>Folha1!$D$43:$I$43</c:f>
              <c:strCache>
                <c:ptCount val="4"/>
                <c:pt idx="0">
                  <c:v>1 individu(%)</c:v>
                </c:pt>
                <c:pt idx="1">
                  <c:v>Couple sans enfant (%)</c:v>
                </c:pt>
                <c:pt idx="2">
                  <c:v>Couple avec enfants (%)</c:v>
                </c:pt>
                <c:pt idx="3">
                  <c:v>Famille monoparentale (%)</c:v>
                </c:pt>
              </c:strCache>
            </c:strRef>
          </c:cat>
          <c:val>
            <c:numRef>
              <c:f>Folha1!$D$46:$I$46</c:f>
              <c:numCache>
                <c:formatCode>0.0</c:formatCode>
                <c:ptCount val="6"/>
                <c:pt idx="0">
                  <c:v>17.66488695698054</c:v>
                </c:pt>
                <c:pt idx="1">
                  <c:v>23.0168007029549</c:v>
                </c:pt>
                <c:pt idx="2">
                  <c:v>39.5869226851091</c:v>
                </c:pt>
                <c:pt idx="3">
                  <c:v>8.779427611272442</c:v>
                </c:pt>
              </c:numCache>
            </c:numRef>
          </c:val>
          <c:extLst xmlns:c16r2="http://schemas.microsoft.com/office/drawing/2015/06/chart">
            <c:ext xmlns:c16="http://schemas.microsoft.com/office/drawing/2014/chart" uri="{C3380CC4-5D6E-409C-BE32-E72D297353CC}">
              <c16:uniqueId val="{00000002-BDB1-45A8-AD79-820EE6634C5D}"/>
            </c:ext>
          </c:extLst>
        </c:ser>
        <c:ser>
          <c:idx val="3"/>
          <c:order val="3"/>
          <c:tx>
            <c:strRef>
              <c:f>Folha1!$C$47</c:f>
              <c:strCache>
                <c:ptCount val="1"/>
                <c:pt idx="0">
                  <c:v>2013</c:v>
                </c:pt>
              </c:strCache>
            </c:strRef>
          </c:tx>
          <c:invertIfNegative val="0"/>
          <c:cat>
            <c:strRef>
              <c:f>Folha1!$D$43:$I$43</c:f>
              <c:strCache>
                <c:ptCount val="4"/>
                <c:pt idx="0">
                  <c:v>1 individu(%)</c:v>
                </c:pt>
                <c:pt idx="1">
                  <c:v>Couple sans enfant (%)</c:v>
                </c:pt>
                <c:pt idx="2">
                  <c:v>Couple avec enfants (%)</c:v>
                </c:pt>
                <c:pt idx="3">
                  <c:v>Famille monoparentale (%)</c:v>
                </c:pt>
              </c:strCache>
            </c:strRef>
          </c:cat>
          <c:val>
            <c:numRef>
              <c:f>Folha1!$D$47:$I$47</c:f>
              <c:numCache>
                <c:formatCode>0.0</c:formatCode>
                <c:ptCount val="6"/>
                <c:pt idx="0">
                  <c:v>19.59079096153813</c:v>
                </c:pt>
                <c:pt idx="1">
                  <c:v>22.82188403738204</c:v>
                </c:pt>
                <c:pt idx="2">
                  <c:v>37.031373159005</c:v>
                </c:pt>
                <c:pt idx="3">
                  <c:v>10.36864466764655</c:v>
                </c:pt>
              </c:numCache>
            </c:numRef>
          </c:val>
          <c:extLst xmlns:c16r2="http://schemas.microsoft.com/office/drawing/2015/06/chart">
            <c:ext xmlns:c16="http://schemas.microsoft.com/office/drawing/2014/chart" uri="{C3380CC4-5D6E-409C-BE32-E72D297353CC}">
              <c16:uniqueId val="{00000003-BDB1-45A8-AD79-820EE6634C5D}"/>
            </c:ext>
          </c:extLst>
        </c:ser>
        <c:dLbls>
          <c:showLegendKey val="0"/>
          <c:showVal val="0"/>
          <c:showCatName val="0"/>
          <c:showSerName val="0"/>
          <c:showPercent val="0"/>
          <c:showBubbleSize val="0"/>
        </c:dLbls>
        <c:gapWidth val="150"/>
        <c:axId val="-2090733352"/>
        <c:axId val="-2058218040"/>
      </c:barChart>
      <c:catAx>
        <c:axId val="-2090733352"/>
        <c:scaling>
          <c:orientation val="minMax"/>
        </c:scaling>
        <c:delete val="0"/>
        <c:axPos val="b"/>
        <c:numFmt formatCode="General" sourceLinked="0"/>
        <c:majorTickMark val="out"/>
        <c:minorTickMark val="none"/>
        <c:tickLblPos val="nextTo"/>
        <c:txPr>
          <a:bodyPr rot="-840000" vert="horz"/>
          <a:lstStyle/>
          <a:p>
            <a:pPr>
              <a:defRPr sz="900"/>
            </a:pPr>
            <a:endParaRPr lang="en-US"/>
          </a:p>
        </c:txPr>
        <c:crossAx val="-2058218040"/>
        <c:crosses val="autoZero"/>
        <c:auto val="1"/>
        <c:lblAlgn val="ctr"/>
        <c:lblOffset val="100"/>
        <c:noMultiLvlLbl val="0"/>
      </c:catAx>
      <c:valAx>
        <c:axId val="-2058218040"/>
        <c:scaling>
          <c:orientation val="minMax"/>
        </c:scaling>
        <c:delete val="0"/>
        <c:axPos val="l"/>
        <c:majorGridlines/>
        <c:numFmt formatCode="0.0" sourceLinked="1"/>
        <c:majorTickMark val="out"/>
        <c:minorTickMark val="none"/>
        <c:tickLblPos val="nextTo"/>
        <c:crossAx val="-2090733352"/>
        <c:crosses val="autoZero"/>
        <c:crossBetween val="between"/>
      </c:valAx>
    </c:plotArea>
    <c:legend>
      <c:legendPos val="r"/>
      <c:layout>
        <c:manualLayout>
          <c:xMode val="edge"/>
          <c:yMode val="edge"/>
          <c:x val="0.5406464191976"/>
          <c:y val="0.801309536307961"/>
          <c:w val="0.373639295088114"/>
          <c:h val="0.112936482939633"/>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51343585504851"/>
          <c:y val="0.0588235294117647"/>
          <c:w val="0.570571844955845"/>
          <c:h val="0.826546478070332"/>
        </c:manualLayout>
      </c:layout>
      <c:lineChart>
        <c:grouping val="standard"/>
        <c:varyColors val="0"/>
        <c:ser>
          <c:idx val="0"/>
          <c:order val="0"/>
          <c:tx>
            <c:strRef>
              <c:f>Sheet1!$D$11</c:f>
              <c:strCache>
                <c:ptCount val="1"/>
                <c:pt idx="0">
                  <c:v>Total familles unipersonnelles </c:v>
                </c:pt>
              </c:strCache>
            </c:strRef>
          </c:tx>
          <c:marker>
            <c:symbol val="none"/>
          </c:marker>
          <c:cat>
            <c:numRef>
              <c:f>Sheet1!$C$12:$C$15</c:f>
              <c:numCache>
                <c:formatCode>General</c:formatCode>
                <c:ptCount val="4"/>
                <c:pt idx="0">
                  <c:v>1981.0</c:v>
                </c:pt>
                <c:pt idx="1">
                  <c:v>1991.0</c:v>
                </c:pt>
                <c:pt idx="2">
                  <c:v>2001.0</c:v>
                </c:pt>
                <c:pt idx="3">
                  <c:v>2011.0</c:v>
                </c:pt>
              </c:numCache>
            </c:numRef>
          </c:cat>
          <c:val>
            <c:numRef>
              <c:f>Sheet1!$D$12:$D$15</c:f>
              <c:numCache>
                <c:formatCode>General</c:formatCode>
                <c:ptCount val="4"/>
                <c:pt idx="0">
                  <c:v>379245.0</c:v>
                </c:pt>
                <c:pt idx="1">
                  <c:v>435864.0</c:v>
                </c:pt>
                <c:pt idx="2">
                  <c:v>631762.0</c:v>
                </c:pt>
                <c:pt idx="3">
                  <c:v>866827.0</c:v>
                </c:pt>
              </c:numCache>
            </c:numRef>
          </c:val>
          <c:smooth val="0"/>
          <c:extLst xmlns:c16r2="http://schemas.microsoft.com/office/drawing/2015/06/chart">
            <c:ext xmlns:c16="http://schemas.microsoft.com/office/drawing/2014/chart" uri="{C3380CC4-5D6E-409C-BE32-E72D297353CC}">
              <c16:uniqueId val="{00000000-0E05-46F8-BC60-360A1450D14E}"/>
            </c:ext>
          </c:extLst>
        </c:ser>
        <c:ser>
          <c:idx val="1"/>
          <c:order val="1"/>
          <c:tx>
            <c:strRef>
              <c:f>Sheet1!$E$11</c:f>
              <c:strCache>
                <c:ptCount val="1"/>
                <c:pt idx="0">
                  <c:v>Familles unipersonnels de plus de 65 ans</c:v>
                </c:pt>
              </c:strCache>
            </c:strRef>
          </c:tx>
          <c:marker>
            <c:symbol val="none"/>
          </c:marker>
          <c:cat>
            <c:numRef>
              <c:f>Sheet1!$C$12:$C$15</c:f>
              <c:numCache>
                <c:formatCode>General</c:formatCode>
                <c:ptCount val="4"/>
                <c:pt idx="0">
                  <c:v>1981.0</c:v>
                </c:pt>
                <c:pt idx="1">
                  <c:v>1991.0</c:v>
                </c:pt>
                <c:pt idx="2">
                  <c:v>2001.0</c:v>
                </c:pt>
                <c:pt idx="3">
                  <c:v>2011.0</c:v>
                </c:pt>
              </c:numCache>
            </c:numRef>
          </c:cat>
          <c:val>
            <c:numRef>
              <c:f>Sheet1!$E$12:$E$15</c:f>
              <c:numCache>
                <c:formatCode>General</c:formatCode>
                <c:ptCount val="4"/>
                <c:pt idx="0">
                  <c:v>196978.0</c:v>
                </c:pt>
                <c:pt idx="1">
                  <c:v>241717.0</c:v>
                </c:pt>
                <c:pt idx="2">
                  <c:v>321054.0</c:v>
                </c:pt>
                <c:pt idx="3">
                  <c:v>406942.0</c:v>
                </c:pt>
              </c:numCache>
            </c:numRef>
          </c:val>
          <c:smooth val="0"/>
          <c:extLst xmlns:c16r2="http://schemas.microsoft.com/office/drawing/2015/06/chart">
            <c:ext xmlns:c16="http://schemas.microsoft.com/office/drawing/2014/chart" uri="{C3380CC4-5D6E-409C-BE32-E72D297353CC}">
              <c16:uniqueId val="{00000001-0E05-46F8-BC60-360A1450D14E}"/>
            </c:ext>
          </c:extLst>
        </c:ser>
        <c:dLbls>
          <c:showLegendKey val="0"/>
          <c:showVal val="0"/>
          <c:showCatName val="0"/>
          <c:showSerName val="0"/>
          <c:showPercent val="0"/>
          <c:showBubbleSize val="0"/>
        </c:dLbls>
        <c:marker val="1"/>
        <c:smooth val="0"/>
        <c:axId val="-2025545304"/>
        <c:axId val="-2029611576"/>
      </c:lineChart>
      <c:catAx>
        <c:axId val="-2025545304"/>
        <c:scaling>
          <c:orientation val="minMax"/>
        </c:scaling>
        <c:delete val="0"/>
        <c:axPos val="b"/>
        <c:numFmt formatCode="General" sourceLinked="1"/>
        <c:majorTickMark val="out"/>
        <c:minorTickMark val="none"/>
        <c:tickLblPos val="nextTo"/>
        <c:crossAx val="-2029611576"/>
        <c:crosses val="autoZero"/>
        <c:auto val="1"/>
        <c:lblAlgn val="ctr"/>
        <c:lblOffset val="100"/>
        <c:noMultiLvlLbl val="0"/>
      </c:catAx>
      <c:valAx>
        <c:axId val="-2029611576"/>
        <c:scaling>
          <c:orientation val="minMax"/>
        </c:scaling>
        <c:delete val="0"/>
        <c:axPos val="l"/>
        <c:majorGridlines/>
        <c:numFmt formatCode="General" sourceLinked="1"/>
        <c:majorTickMark val="out"/>
        <c:minorTickMark val="none"/>
        <c:tickLblPos val="nextTo"/>
        <c:crossAx val="-2025545304"/>
        <c:crosses val="autoZero"/>
        <c:crossBetween val="between"/>
      </c:valAx>
    </c:plotArea>
    <c:legend>
      <c:legendPos val="r"/>
      <c:layout>
        <c:manualLayout>
          <c:xMode val="edge"/>
          <c:yMode val="edge"/>
          <c:x val="0.719152999521469"/>
          <c:y val="0.505393522642249"/>
          <c:w val="0.272559707660852"/>
          <c:h val="0.256706008029084"/>
        </c:manualLayout>
      </c:layout>
      <c:overlay val="0"/>
      <c:txPr>
        <a:bodyPr/>
        <a:lstStyle/>
        <a:p>
          <a:pPr>
            <a:defRPr sz="800"/>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barChart>
        <c:barDir val="col"/>
        <c:grouping val="clustered"/>
        <c:varyColors val="0"/>
        <c:ser>
          <c:idx val="0"/>
          <c:order val="0"/>
          <c:tx>
            <c:strRef>
              <c:f>Sheet1!$C$17</c:f>
              <c:strCache>
                <c:ptCount val="1"/>
                <c:pt idx="0">
                  <c:v>1991 (%)</c:v>
                </c:pt>
              </c:strCache>
            </c:strRef>
          </c:tx>
          <c:invertIfNegative val="0"/>
          <c:dLbls>
            <c:spPr>
              <a:noFill/>
              <a:ln>
                <a:noFill/>
              </a:ln>
              <a:effectLst/>
            </c:spPr>
            <c:txPr>
              <a:bodyPr/>
              <a:lstStyle/>
              <a:p>
                <a:pPr>
                  <a:defRPr sz="60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Sheet1!$B$18:$B$23</c:f>
              <c:strCache>
                <c:ptCount val="6"/>
                <c:pt idx="0">
                  <c:v>Composé  de 1 personne</c:v>
                </c:pt>
                <c:pt idx="1">
                  <c:v>Composé de  2 personnes</c:v>
                </c:pt>
                <c:pt idx="2">
                  <c:v>Composé de 3 personnes</c:v>
                </c:pt>
                <c:pt idx="3">
                  <c:v>Composé de 4 personnes</c:v>
                </c:pt>
                <c:pt idx="4">
                  <c:v>Composé de 5 personnes</c:v>
                </c:pt>
                <c:pt idx="5">
                  <c:v>Composé de 6  personnes ou +</c:v>
                </c:pt>
              </c:strCache>
            </c:strRef>
          </c:cat>
          <c:val>
            <c:numRef>
              <c:f>Sheet1!$C$18:$C$23</c:f>
              <c:numCache>
                <c:formatCode>General</c:formatCode>
                <c:ptCount val="6"/>
                <c:pt idx="0">
                  <c:v>13.8</c:v>
                </c:pt>
                <c:pt idx="1">
                  <c:v>25.3</c:v>
                </c:pt>
                <c:pt idx="2">
                  <c:v>23.8</c:v>
                </c:pt>
                <c:pt idx="3">
                  <c:v>21.7</c:v>
                </c:pt>
                <c:pt idx="4">
                  <c:v>8.8</c:v>
                </c:pt>
                <c:pt idx="5">
                  <c:v>6.6</c:v>
                </c:pt>
              </c:numCache>
            </c:numRef>
          </c:val>
          <c:extLst xmlns:c16r2="http://schemas.microsoft.com/office/drawing/2015/06/chart">
            <c:ext xmlns:c16="http://schemas.microsoft.com/office/drawing/2014/chart" uri="{C3380CC4-5D6E-409C-BE32-E72D297353CC}">
              <c16:uniqueId val="{00000000-E6E6-4989-A92B-ED10E03D2617}"/>
            </c:ext>
          </c:extLst>
        </c:ser>
        <c:ser>
          <c:idx val="1"/>
          <c:order val="1"/>
          <c:tx>
            <c:strRef>
              <c:f>Sheet1!$D$17</c:f>
              <c:strCache>
                <c:ptCount val="1"/>
                <c:pt idx="0">
                  <c:v>2001 (%)</c:v>
                </c:pt>
              </c:strCache>
            </c:strRef>
          </c:tx>
          <c:invertIfNegative val="0"/>
          <c:dLbls>
            <c:spPr>
              <a:noFill/>
              <a:ln>
                <a:noFill/>
              </a:ln>
              <a:effectLst/>
            </c:spPr>
            <c:txPr>
              <a:bodyPr/>
              <a:lstStyle/>
              <a:p>
                <a:pPr>
                  <a:defRPr sz="60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Sheet1!$B$18:$B$23</c:f>
              <c:strCache>
                <c:ptCount val="6"/>
                <c:pt idx="0">
                  <c:v>Composé  de 1 personne</c:v>
                </c:pt>
                <c:pt idx="1">
                  <c:v>Composé de  2 personnes</c:v>
                </c:pt>
                <c:pt idx="2">
                  <c:v>Composé de 3 personnes</c:v>
                </c:pt>
                <c:pt idx="3">
                  <c:v>Composé de 4 personnes</c:v>
                </c:pt>
                <c:pt idx="4">
                  <c:v>Composé de 5 personnes</c:v>
                </c:pt>
                <c:pt idx="5">
                  <c:v>Composé de 6  personnes ou +</c:v>
                </c:pt>
              </c:strCache>
            </c:strRef>
          </c:cat>
          <c:val>
            <c:numRef>
              <c:f>Sheet1!$D$18:$D$23</c:f>
              <c:numCache>
                <c:formatCode>General</c:formatCode>
                <c:ptCount val="6"/>
                <c:pt idx="0">
                  <c:v>17.3</c:v>
                </c:pt>
                <c:pt idx="1">
                  <c:v>28.4</c:v>
                </c:pt>
                <c:pt idx="2">
                  <c:v>25.2</c:v>
                </c:pt>
                <c:pt idx="3">
                  <c:v>19.7</c:v>
                </c:pt>
                <c:pt idx="4">
                  <c:v>6.2</c:v>
                </c:pt>
                <c:pt idx="5">
                  <c:v>3.3</c:v>
                </c:pt>
              </c:numCache>
            </c:numRef>
          </c:val>
          <c:extLst xmlns:c16r2="http://schemas.microsoft.com/office/drawing/2015/06/chart">
            <c:ext xmlns:c16="http://schemas.microsoft.com/office/drawing/2014/chart" uri="{C3380CC4-5D6E-409C-BE32-E72D297353CC}">
              <c16:uniqueId val="{00000001-E6E6-4989-A92B-ED10E03D2617}"/>
            </c:ext>
          </c:extLst>
        </c:ser>
        <c:ser>
          <c:idx val="2"/>
          <c:order val="2"/>
          <c:tx>
            <c:strRef>
              <c:f>Sheet1!$E$17</c:f>
              <c:strCache>
                <c:ptCount val="1"/>
                <c:pt idx="0">
                  <c:v>2011 (%)</c:v>
                </c:pt>
              </c:strCache>
            </c:strRef>
          </c:tx>
          <c:invertIfNegative val="0"/>
          <c:dLbls>
            <c:spPr>
              <a:noFill/>
              <a:ln>
                <a:noFill/>
              </a:ln>
              <a:effectLst/>
            </c:spPr>
            <c:txPr>
              <a:bodyPr/>
              <a:lstStyle/>
              <a:p>
                <a:pPr>
                  <a:defRPr sz="60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Sheet1!$B$18:$B$23</c:f>
              <c:strCache>
                <c:ptCount val="6"/>
                <c:pt idx="0">
                  <c:v>Composé  de 1 personne</c:v>
                </c:pt>
                <c:pt idx="1">
                  <c:v>Composé de  2 personnes</c:v>
                </c:pt>
                <c:pt idx="2">
                  <c:v>Composé de 3 personnes</c:v>
                </c:pt>
                <c:pt idx="3">
                  <c:v>Composé de 4 personnes</c:v>
                </c:pt>
                <c:pt idx="4">
                  <c:v>Composé de 5 personnes</c:v>
                </c:pt>
                <c:pt idx="5">
                  <c:v>Composé de 6  personnes ou +</c:v>
                </c:pt>
              </c:strCache>
            </c:strRef>
          </c:cat>
          <c:val>
            <c:numRef>
              <c:f>Sheet1!$E$18:$E$23</c:f>
              <c:numCache>
                <c:formatCode>General</c:formatCode>
                <c:ptCount val="6"/>
                <c:pt idx="0">
                  <c:v>21.4</c:v>
                </c:pt>
                <c:pt idx="1">
                  <c:v>31.6</c:v>
                </c:pt>
                <c:pt idx="2">
                  <c:v>23.9</c:v>
                </c:pt>
                <c:pt idx="3">
                  <c:v>16.6</c:v>
                </c:pt>
                <c:pt idx="4">
                  <c:v>4.5</c:v>
                </c:pt>
                <c:pt idx="5">
                  <c:v>2.0</c:v>
                </c:pt>
              </c:numCache>
            </c:numRef>
          </c:val>
          <c:extLst xmlns:c16r2="http://schemas.microsoft.com/office/drawing/2015/06/chart">
            <c:ext xmlns:c16="http://schemas.microsoft.com/office/drawing/2014/chart" uri="{C3380CC4-5D6E-409C-BE32-E72D297353CC}">
              <c16:uniqueId val="{00000002-E6E6-4989-A92B-ED10E03D2617}"/>
            </c:ext>
          </c:extLst>
        </c:ser>
        <c:dLbls>
          <c:showLegendKey val="0"/>
          <c:showVal val="1"/>
          <c:showCatName val="0"/>
          <c:showSerName val="0"/>
          <c:showPercent val="0"/>
          <c:showBubbleSize val="0"/>
        </c:dLbls>
        <c:gapWidth val="75"/>
        <c:axId val="-2077659000"/>
        <c:axId val="-2029778504"/>
      </c:barChart>
      <c:catAx>
        <c:axId val="-2077659000"/>
        <c:scaling>
          <c:orientation val="minMax"/>
        </c:scaling>
        <c:delete val="0"/>
        <c:axPos val="b"/>
        <c:numFmt formatCode="General" sourceLinked="0"/>
        <c:majorTickMark val="none"/>
        <c:minorTickMark val="none"/>
        <c:tickLblPos val="nextTo"/>
        <c:txPr>
          <a:bodyPr rot="-840000" vert="horz"/>
          <a:lstStyle/>
          <a:p>
            <a:pPr>
              <a:defRPr sz="900"/>
            </a:pPr>
            <a:endParaRPr lang="en-US"/>
          </a:p>
        </c:txPr>
        <c:crossAx val="-2029778504"/>
        <c:crosses val="autoZero"/>
        <c:auto val="1"/>
        <c:lblAlgn val="ctr"/>
        <c:lblOffset val="100"/>
        <c:noMultiLvlLbl val="0"/>
      </c:catAx>
      <c:valAx>
        <c:axId val="-2029778504"/>
        <c:scaling>
          <c:orientation val="minMax"/>
        </c:scaling>
        <c:delete val="0"/>
        <c:axPos val="l"/>
        <c:numFmt formatCode="General" sourceLinked="1"/>
        <c:majorTickMark val="none"/>
        <c:minorTickMark val="none"/>
        <c:tickLblPos val="nextTo"/>
        <c:crossAx val="-2077659000"/>
        <c:crosses val="autoZero"/>
        <c:crossBetween val="between"/>
      </c:valAx>
    </c:plotArea>
    <c:legend>
      <c:legendPos val="b"/>
      <c:layout/>
      <c:overlay val="0"/>
      <c:txPr>
        <a:bodyPr/>
        <a:lstStyle/>
        <a:p>
          <a:pPr>
            <a:defRPr sz="800"/>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Sheet2!$A$18</c:f>
              <c:strCache>
                <c:ptCount val="1"/>
                <c:pt idx="0">
                  <c:v>Étranger</c:v>
                </c:pt>
              </c:strCache>
            </c:strRef>
          </c:tx>
          <c:invertIfNegative val="0"/>
          <c:cat>
            <c:strRef>
              <c:f>Sheet2!$B$17:$O$17</c:f>
              <c:strCache>
                <c:ptCount val="14"/>
                <c:pt idx="0">
                  <c:v>10 - 14</c:v>
                </c:pt>
                <c:pt idx="1">
                  <c:v>15 - 19</c:v>
                </c:pt>
                <c:pt idx="2">
                  <c:v>20 - 24</c:v>
                </c:pt>
                <c:pt idx="3">
                  <c:v>25 - 29</c:v>
                </c:pt>
                <c:pt idx="4">
                  <c:v>30 - 34</c:v>
                </c:pt>
                <c:pt idx="5">
                  <c:v>35 - 39</c:v>
                </c:pt>
                <c:pt idx="6">
                  <c:v>40 - 44</c:v>
                </c:pt>
                <c:pt idx="7">
                  <c:v>45 - 49</c:v>
                </c:pt>
                <c:pt idx="8">
                  <c:v>50 - 54</c:v>
                </c:pt>
                <c:pt idx="9">
                  <c:v>55 - 59</c:v>
                </c:pt>
                <c:pt idx="10">
                  <c:v>60 - 64</c:v>
                </c:pt>
                <c:pt idx="11">
                  <c:v>65 - 69</c:v>
                </c:pt>
                <c:pt idx="12">
                  <c:v>70 - 74</c:v>
                </c:pt>
                <c:pt idx="13">
                  <c:v>75 et +</c:v>
                </c:pt>
              </c:strCache>
            </c:strRef>
          </c:cat>
          <c:val>
            <c:numRef>
              <c:f>Sheet2!$B$18:$O$18</c:f>
              <c:numCache>
                <c:formatCode>General</c:formatCode>
                <c:ptCount val="14"/>
                <c:pt idx="0">
                  <c:v>0.00779544745868413</c:v>
                </c:pt>
                <c:pt idx="1">
                  <c:v>1.392786612618231</c:v>
                </c:pt>
                <c:pt idx="2">
                  <c:v>7.257561584034923</c:v>
                </c:pt>
                <c:pt idx="3">
                  <c:v>11.25012992412431</c:v>
                </c:pt>
                <c:pt idx="4">
                  <c:v>12.42074628417005</c:v>
                </c:pt>
                <c:pt idx="5">
                  <c:v>10.9240203721027</c:v>
                </c:pt>
                <c:pt idx="6">
                  <c:v>9.140162145307137</c:v>
                </c:pt>
                <c:pt idx="7">
                  <c:v>7.821432283546406</c:v>
                </c:pt>
                <c:pt idx="8">
                  <c:v>6.397463881093442</c:v>
                </c:pt>
                <c:pt idx="9">
                  <c:v>6.215570107057475</c:v>
                </c:pt>
                <c:pt idx="10">
                  <c:v>9.859941793992307</c:v>
                </c:pt>
                <c:pt idx="11">
                  <c:v>10.01844922565222</c:v>
                </c:pt>
                <c:pt idx="12">
                  <c:v>4.45769670512421</c:v>
                </c:pt>
                <c:pt idx="13">
                  <c:v>2.836243633717906</c:v>
                </c:pt>
              </c:numCache>
            </c:numRef>
          </c:val>
          <c:extLst xmlns:c16r2="http://schemas.microsoft.com/office/drawing/2015/06/chart">
            <c:ext xmlns:c16="http://schemas.microsoft.com/office/drawing/2014/chart" uri="{C3380CC4-5D6E-409C-BE32-E72D297353CC}">
              <c16:uniqueId val="{00000000-D04F-44B8-BE10-5F3BB4519C56}"/>
            </c:ext>
          </c:extLst>
        </c:ser>
        <c:ser>
          <c:idx val="1"/>
          <c:order val="1"/>
          <c:tx>
            <c:strRef>
              <c:f>Sheet2!$A$19</c:f>
              <c:strCache>
                <c:ptCount val="1"/>
                <c:pt idx="0">
                  <c:v>D’une autre municipalité</c:v>
                </c:pt>
              </c:strCache>
            </c:strRef>
          </c:tx>
          <c:invertIfNegative val="0"/>
          <c:cat>
            <c:strRef>
              <c:f>Sheet2!$B$17:$O$17</c:f>
              <c:strCache>
                <c:ptCount val="14"/>
                <c:pt idx="0">
                  <c:v>10 - 14</c:v>
                </c:pt>
                <c:pt idx="1">
                  <c:v>15 - 19</c:v>
                </c:pt>
                <c:pt idx="2">
                  <c:v>20 - 24</c:v>
                </c:pt>
                <c:pt idx="3">
                  <c:v>25 - 29</c:v>
                </c:pt>
                <c:pt idx="4">
                  <c:v>30 - 34</c:v>
                </c:pt>
                <c:pt idx="5">
                  <c:v>35 - 39</c:v>
                </c:pt>
                <c:pt idx="6">
                  <c:v>40 - 44</c:v>
                </c:pt>
                <c:pt idx="7">
                  <c:v>45 - 49</c:v>
                </c:pt>
                <c:pt idx="8">
                  <c:v>50 - 54</c:v>
                </c:pt>
                <c:pt idx="9">
                  <c:v>55 - 59</c:v>
                </c:pt>
                <c:pt idx="10">
                  <c:v>60 - 64</c:v>
                </c:pt>
                <c:pt idx="11">
                  <c:v>65 - 69</c:v>
                </c:pt>
                <c:pt idx="12">
                  <c:v>70 - 74</c:v>
                </c:pt>
                <c:pt idx="13">
                  <c:v>75 et +</c:v>
                </c:pt>
              </c:strCache>
            </c:strRef>
          </c:cat>
          <c:val>
            <c:numRef>
              <c:f>Sheet2!$B$19:$O$19</c:f>
              <c:numCache>
                <c:formatCode>General</c:formatCode>
                <c:ptCount val="14"/>
                <c:pt idx="0">
                  <c:v>0.000375431746508485</c:v>
                </c:pt>
                <c:pt idx="1">
                  <c:v>0.404715422736147</c:v>
                </c:pt>
                <c:pt idx="2">
                  <c:v>5.019522450818442</c:v>
                </c:pt>
                <c:pt idx="3">
                  <c:v>17.13395404715422</c:v>
                </c:pt>
                <c:pt idx="4">
                  <c:v>22.36559543474996</c:v>
                </c:pt>
                <c:pt idx="5">
                  <c:v>16.6023426940982</c:v>
                </c:pt>
                <c:pt idx="6">
                  <c:v>10.34352004805526</c:v>
                </c:pt>
                <c:pt idx="7">
                  <c:v>7.490989638083795</c:v>
                </c:pt>
                <c:pt idx="8">
                  <c:v>5.497071632377234</c:v>
                </c:pt>
                <c:pt idx="9">
                  <c:v>4.342619011863643</c:v>
                </c:pt>
                <c:pt idx="10">
                  <c:v>3.675101366571557</c:v>
                </c:pt>
                <c:pt idx="11">
                  <c:v>2.763177654302447</c:v>
                </c:pt>
                <c:pt idx="12">
                  <c:v>1.858387145217</c:v>
                </c:pt>
                <c:pt idx="13">
                  <c:v>2.502628022225559</c:v>
                </c:pt>
              </c:numCache>
            </c:numRef>
          </c:val>
          <c:extLst xmlns:c16r2="http://schemas.microsoft.com/office/drawing/2015/06/chart">
            <c:ext xmlns:c16="http://schemas.microsoft.com/office/drawing/2014/chart" uri="{C3380CC4-5D6E-409C-BE32-E72D297353CC}">
              <c16:uniqueId val="{00000001-D04F-44B8-BE10-5F3BB4519C56}"/>
            </c:ext>
          </c:extLst>
        </c:ser>
        <c:dLbls>
          <c:showLegendKey val="0"/>
          <c:showVal val="0"/>
          <c:showCatName val="0"/>
          <c:showSerName val="0"/>
          <c:showPercent val="0"/>
          <c:showBubbleSize val="0"/>
        </c:dLbls>
        <c:gapWidth val="150"/>
        <c:axId val="-2041118552"/>
        <c:axId val="-2029125672"/>
      </c:barChart>
      <c:catAx>
        <c:axId val="-2041118552"/>
        <c:scaling>
          <c:orientation val="minMax"/>
        </c:scaling>
        <c:delete val="0"/>
        <c:axPos val="b"/>
        <c:numFmt formatCode="General" sourceLinked="0"/>
        <c:majorTickMark val="out"/>
        <c:minorTickMark val="none"/>
        <c:tickLblPos val="nextTo"/>
        <c:txPr>
          <a:bodyPr/>
          <a:lstStyle/>
          <a:p>
            <a:pPr>
              <a:defRPr sz="800"/>
            </a:pPr>
            <a:endParaRPr lang="en-US"/>
          </a:p>
        </c:txPr>
        <c:crossAx val="-2029125672"/>
        <c:crosses val="autoZero"/>
        <c:auto val="1"/>
        <c:lblAlgn val="ctr"/>
        <c:lblOffset val="100"/>
        <c:noMultiLvlLbl val="0"/>
      </c:catAx>
      <c:valAx>
        <c:axId val="-2029125672"/>
        <c:scaling>
          <c:orientation val="minMax"/>
        </c:scaling>
        <c:delete val="0"/>
        <c:axPos val="l"/>
        <c:majorGridlines/>
        <c:numFmt formatCode="General" sourceLinked="1"/>
        <c:majorTickMark val="out"/>
        <c:minorTickMark val="none"/>
        <c:tickLblPos val="nextTo"/>
        <c:crossAx val="-2041118552"/>
        <c:crosses val="autoZero"/>
        <c:crossBetween val="between"/>
      </c:valAx>
    </c:plotArea>
    <c:legend>
      <c:legendPos val="r"/>
      <c:layout>
        <c:manualLayout>
          <c:xMode val="edge"/>
          <c:yMode val="edge"/>
          <c:x val="0.688184938421159"/>
          <c:y val="0.105691526666454"/>
          <c:w val="0.244427663409544"/>
          <c:h val="0.20785151856018"/>
        </c:manualLayout>
      </c:layout>
      <c:overlay val="0"/>
      <c:txPr>
        <a:bodyPr/>
        <a:lstStyle/>
        <a:p>
          <a:pPr>
            <a:defRPr sz="800"/>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Sheet2!$B$20</c:f>
              <c:strCache>
                <c:ptCount val="1"/>
                <c:pt idx="0">
                  <c:v>Étranger</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Sheet2!$C$19:$E$19</c:f>
              <c:strCache>
                <c:ptCount val="3"/>
                <c:pt idx="0">
                  <c:v>Population au chômage</c:v>
                </c:pt>
                <c:pt idx="1">
                  <c:v>Population employée</c:v>
                </c:pt>
                <c:pt idx="2">
                  <c:v>Population inactive</c:v>
                </c:pt>
              </c:strCache>
            </c:strRef>
          </c:cat>
          <c:val>
            <c:numRef>
              <c:f>Sheet2!$C$20:$E$20</c:f>
              <c:numCache>
                <c:formatCode>0.0</c:formatCode>
                <c:ptCount val="3"/>
                <c:pt idx="0">
                  <c:v>9.0713023594221</c:v>
                </c:pt>
                <c:pt idx="1">
                  <c:v>49.87267435817482</c:v>
                </c:pt>
                <c:pt idx="2">
                  <c:v>41.05602328240305</c:v>
                </c:pt>
              </c:numCache>
            </c:numRef>
          </c:val>
          <c:extLst xmlns:c16r2="http://schemas.microsoft.com/office/drawing/2015/06/chart">
            <c:ext xmlns:c16="http://schemas.microsoft.com/office/drawing/2014/chart" uri="{C3380CC4-5D6E-409C-BE32-E72D297353CC}">
              <c16:uniqueId val="{00000000-2963-4FD3-960C-A9F7AB2C8CAA}"/>
            </c:ext>
          </c:extLst>
        </c:ser>
        <c:ser>
          <c:idx val="1"/>
          <c:order val="1"/>
          <c:tx>
            <c:strRef>
              <c:f>Sheet2!$B$21</c:f>
              <c:strCache>
                <c:ptCount val="1"/>
                <c:pt idx="0">
                  <c:v> D’une autre municipalité</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Sheet2!$C$19:$E$19</c:f>
              <c:strCache>
                <c:ptCount val="3"/>
                <c:pt idx="0">
                  <c:v>Population au chômage</c:v>
                </c:pt>
                <c:pt idx="1">
                  <c:v>Population employée</c:v>
                </c:pt>
                <c:pt idx="2">
                  <c:v>Population inactive</c:v>
                </c:pt>
              </c:strCache>
            </c:strRef>
          </c:cat>
          <c:val>
            <c:numRef>
              <c:f>Sheet2!$C$21:$E$21</c:f>
              <c:numCache>
                <c:formatCode>0.0</c:formatCode>
                <c:ptCount val="3"/>
                <c:pt idx="0">
                  <c:v>8.03499023877459</c:v>
                </c:pt>
                <c:pt idx="1">
                  <c:v>76.2115182459829</c:v>
                </c:pt>
                <c:pt idx="2">
                  <c:v>15.75349151524253</c:v>
                </c:pt>
              </c:numCache>
            </c:numRef>
          </c:val>
          <c:extLst xmlns:c16r2="http://schemas.microsoft.com/office/drawing/2015/06/chart">
            <c:ext xmlns:c16="http://schemas.microsoft.com/office/drawing/2014/chart" uri="{C3380CC4-5D6E-409C-BE32-E72D297353CC}">
              <c16:uniqueId val="{00000001-2963-4FD3-960C-A9F7AB2C8CAA}"/>
            </c:ext>
          </c:extLst>
        </c:ser>
        <c:dLbls>
          <c:showLegendKey val="0"/>
          <c:showVal val="1"/>
          <c:showCatName val="0"/>
          <c:showSerName val="0"/>
          <c:showPercent val="0"/>
          <c:showBubbleSize val="0"/>
        </c:dLbls>
        <c:gapWidth val="75"/>
        <c:axId val="-2040594152"/>
        <c:axId val="-2025472664"/>
      </c:barChart>
      <c:catAx>
        <c:axId val="-2040594152"/>
        <c:scaling>
          <c:orientation val="minMax"/>
        </c:scaling>
        <c:delete val="0"/>
        <c:axPos val="b"/>
        <c:numFmt formatCode="General" sourceLinked="0"/>
        <c:majorTickMark val="none"/>
        <c:minorTickMark val="none"/>
        <c:tickLblPos val="nextTo"/>
        <c:crossAx val="-2025472664"/>
        <c:crosses val="autoZero"/>
        <c:auto val="1"/>
        <c:lblAlgn val="ctr"/>
        <c:lblOffset val="100"/>
        <c:noMultiLvlLbl val="0"/>
      </c:catAx>
      <c:valAx>
        <c:axId val="-2025472664"/>
        <c:scaling>
          <c:orientation val="minMax"/>
        </c:scaling>
        <c:delete val="0"/>
        <c:axPos val="l"/>
        <c:numFmt formatCode="0.0" sourceLinked="1"/>
        <c:majorTickMark val="none"/>
        <c:minorTickMark val="none"/>
        <c:tickLblPos val="nextTo"/>
        <c:crossAx val="-2040594152"/>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Sheet3!$B$333</c:f>
              <c:strCache>
                <c:ptCount val="1"/>
                <c:pt idx="0">
                  <c:v>De l’étranger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Sheet3!$C$332:$H$332</c:f>
              <c:strCache>
                <c:ptCount val="6"/>
                <c:pt idx="0">
                  <c:v>1 Personne </c:v>
                </c:pt>
                <c:pt idx="1">
                  <c:v>2 Personnes</c:v>
                </c:pt>
                <c:pt idx="2">
                  <c:v>3 Personnes</c:v>
                </c:pt>
                <c:pt idx="3">
                  <c:v>4 Personnes</c:v>
                </c:pt>
                <c:pt idx="4">
                  <c:v>5 Personnes</c:v>
                </c:pt>
                <c:pt idx="5">
                  <c:v>6 Personnes et +</c:v>
                </c:pt>
              </c:strCache>
            </c:strRef>
          </c:cat>
          <c:val>
            <c:numRef>
              <c:f>Sheet3!$C$333:$H$333</c:f>
              <c:numCache>
                <c:formatCode>0.0</c:formatCode>
                <c:ptCount val="6"/>
                <c:pt idx="0" formatCode="0">
                  <c:v>28.3091674462114</c:v>
                </c:pt>
                <c:pt idx="1">
                  <c:v>35.86035755119008</c:v>
                </c:pt>
                <c:pt idx="2">
                  <c:v>17.87236254027648</c:v>
                </c:pt>
                <c:pt idx="3">
                  <c:v>11.83478848352562</c:v>
                </c:pt>
                <c:pt idx="4">
                  <c:v>4.074420538405568</c:v>
                </c:pt>
                <c:pt idx="5">
                  <c:v>2.048903440390812</c:v>
                </c:pt>
              </c:numCache>
            </c:numRef>
          </c:val>
          <c:extLst xmlns:c16r2="http://schemas.microsoft.com/office/drawing/2015/06/chart">
            <c:ext xmlns:c16="http://schemas.microsoft.com/office/drawing/2014/chart" uri="{C3380CC4-5D6E-409C-BE32-E72D297353CC}">
              <c16:uniqueId val="{00000000-6FC1-4B9A-90F2-8EC025FEE9E6}"/>
            </c:ext>
          </c:extLst>
        </c:ser>
        <c:ser>
          <c:idx val="1"/>
          <c:order val="1"/>
          <c:tx>
            <c:strRef>
              <c:f>Sheet3!$B$334</c:f>
              <c:strCache>
                <c:ptCount val="1"/>
                <c:pt idx="0">
                  <c:v>D’autre Municipalité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Sheet3!$C$332:$H$332</c:f>
              <c:strCache>
                <c:ptCount val="6"/>
                <c:pt idx="0">
                  <c:v>1 Personne </c:v>
                </c:pt>
                <c:pt idx="1">
                  <c:v>2 Personnes</c:v>
                </c:pt>
                <c:pt idx="2">
                  <c:v>3 Personnes</c:v>
                </c:pt>
                <c:pt idx="3">
                  <c:v>4 Personnes</c:v>
                </c:pt>
                <c:pt idx="4">
                  <c:v>5 Personnes</c:v>
                </c:pt>
                <c:pt idx="5">
                  <c:v>6 Personnes et +</c:v>
                </c:pt>
              </c:strCache>
            </c:strRef>
          </c:cat>
          <c:val>
            <c:numRef>
              <c:f>Sheet3!$C$334:$H$334</c:f>
              <c:numCache>
                <c:formatCode>0.0</c:formatCode>
                <c:ptCount val="6"/>
                <c:pt idx="0">
                  <c:v>27.42679080943082</c:v>
                </c:pt>
                <c:pt idx="1">
                  <c:v>32.55631476197625</c:v>
                </c:pt>
                <c:pt idx="2">
                  <c:v>23.33007959153026</c:v>
                </c:pt>
                <c:pt idx="3">
                  <c:v>12.35545877759423</c:v>
                </c:pt>
                <c:pt idx="4">
                  <c:v>3.104445111878658</c:v>
                </c:pt>
                <c:pt idx="5">
                  <c:v>1.226910947589728</c:v>
                </c:pt>
              </c:numCache>
            </c:numRef>
          </c:val>
          <c:extLst xmlns:c16r2="http://schemas.microsoft.com/office/drawing/2015/06/chart">
            <c:ext xmlns:c16="http://schemas.microsoft.com/office/drawing/2014/chart" uri="{C3380CC4-5D6E-409C-BE32-E72D297353CC}">
              <c16:uniqueId val="{00000001-6FC1-4B9A-90F2-8EC025FEE9E6}"/>
            </c:ext>
          </c:extLst>
        </c:ser>
        <c:dLbls>
          <c:showLegendKey val="0"/>
          <c:showVal val="1"/>
          <c:showCatName val="0"/>
          <c:showSerName val="0"/>
          <c:showPercent val="0"/>
          <c:showBubbleSize val="0"/>
        </c:dLbls>
        <c:gapWidth val="75"/>
        <c:axId val="-2027098616"/>
        <c:axId val="-2040955320"/>
      </c:barChart>
      <c:catAx>
        <c:axId val="-2027098616"/>
        <c:scaling>
          <c:orientation val="minMax"/>
        </c:scaling>
        <c:delete val="0"/>
        <c:axPos val="b"/>
        <c:numFmt formatCode="General" sourceLinked="0"/>
        <c:majorTickMark val="none"/>
        <c:minorTickMark val="none"/>
        <c:tickLblPos val="nextTo"/>
        <c:txPr>
          <a:bodyPr/>
          <a:lstStyle/>
          <a:p>
            <a:pPr>
              <a:defRPr sz="800"/>
            </a:pPr>
            <a:endParaRPr lang="en-US"/>
          </a:p>
        </c:txPr>
        <c:crossAx val="-2040955320"/>
        <c:crosses val="autoZero"/>
        <c:auto val="1"/>
        <c:lblAlgn val="ctr"/>
        <c:lblOffset val="100"/>
        <c:noMultiLvlLbl val="0"/>
      </c:catAx>
      <c:valAx>
        <c:axId val="-2040955320"/>
        <c:scaling>
          <c:orientation val="minMax"/>
        </c:scaling>
        <c:delete val="0"/>
        <c:axPos val="l"/>
        <c:numFmt formatCode="0" sourceLinked="1"/>
        <c:majorTickMark val="none"/>
        <c:minorTickMark val="none"/>
        <c:tickLblPos val="nextTo"/>
        <c:crossAx val="-2027098616"/>
        <c:crosses val="autoZero"/>
        <c:crossBetween val="between"/>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BE732-0930-904E-A95E-E49D592F3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\Renée\Travail\TRADUCTION\ih\CRISTINA\2016\Traduction AIDELF.dotx</Template>
  <TotalTime>5</TotalTime>
  <Pages>13</Pages>
  <Words>7203</Words>
  <Characters>41062</Characters>
  <Application>Microsoft Macintosh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Universidade de Aveiro</Company>
  <LinksUpToDate>false</LinksUpToDate>
  <CharactersWithSpaces>48169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dc:creator>
  <cp:keywords/>
  <dc:description/>
  <cp:lastModifiedBy>Maria Cristina Sousa Gomes</cp:lastModifiedBy>
  <cp:revision>4</cp:revision>
  <dcterms:created xsi:type="dcterms:W3CDTF">2016-03-30T14:06:00Z</dcterms:created>
  <dcterms:modified xsi:type="dcterms:W3CDTF">2016-03-30T18:45:00Z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mcgomes@ua.pt@www.mendeley.com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http://csl.mendeley.com/styles/3801361/apa</vt:lpwstr>
  </property>
  <property fmtid="{D5CDD505-2E9C-101B-9397-08002B2CF9AE}" pid="10" name="Mendeley Recent Style Name 2_1">
    <vt:lpwstr>American Psychological Association 6th Edition_SBIDM/UA</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