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DE" w:rsidRDefault="007042DE" w:rsidP="007042DE">
      <w:pPr>
        <w:pStyle w:val="NormalWeb"/>
        <w:pBdr>
          <w:top w:val="single" w:sz="4" w:space="1" w:color="auto"/>
          <w:left w:val="single" w:sz="4" w:space="4" w:color="auto"/>
          <w:bottom w:val="single" w:sz="4" w:space="1" w:color="auto"/>
          <w:right w:val="single" w:sz="4" w:space="4" w:color="auto"/>
        </w:pBdr>
        <w:spacing w:before="0" w:beforeAutospacing="0" w:after="0" w:afterAutospacing="0" w:line="255" w:lineRule="atLeast"/>
        <w:textAlignment w:val="baseline"/>
        <w:rPr>
          <w:rStyle w:val="Textoennegrita"/>
          <w:rFonts w:asciiTheme="minorHAnsi" w:hAnsiTheme="minorHAnsi" w:cs="Arial"/>
          <w:color w:val="000000"/>
          <w:sz w:val="36"/>
          <w:szCs w:val="36"/>
          <w:bdr w:val="none" w:sz="0" w:space="0" w:color="auto" w:frame="1"/>
          <w:lang w:val="fr-FR"/>
        </w:rPr>
      </w:pPr>
      <w:r w:rsidRPr="007042DE">
        <w:rPr>
          <w:rStyle w:val="Textoennegrita"/>
          <w:rFonts w:asciiTheme="minorHAnsi" w:hAnsiTheme="minorHAnsi" w:cs="Arial"/>
          <w:color w:val="000000"/>
          <w:sz w:val="36"/>
          <w:szCs w:val="36"/>
          <w:bdr w:val="none" w:sz="0" w:space="0" w:color="auto" w:frame="1"/>
          <w:lang w:val="fr-FR"/>
        </w:rPr>
        <w:t>XIX</w:t>
      </w:r>
      <w:r w:rsidRPr="007042DE">
        <w:rPr>
          <w:rStyle w:val="Textoennegrita"/>
          <w:rFonts w:asciiTheme="minorHAnsi" w:hAnsiTheme="minorHAnsi" w:cs="Arial"/>
          <w:color w:val="000000"/>
          <w:sz w:val="36"/>
          <w:szCs w:val="36"/>
          <w:bdr w:val="none" w:sz="0" w:space="0" w:color="auto" w:frame="1"/>
          <w:vertAlign w:val="superscript"/>
          <w:lang w:val="fr-FR"/>
        </w:rPr>
        <w:t>e</w:t>
      </w:r>
      <w:r w:rsidRPr="007042DE">
        <w:rPr>
          <w:rStyle w:val="apple-converted-space"/>
          <w:rFonts w:asciiTheme="minorHAnsi" w:hAnsiTheme="minorHAnsi" w:cs="Arial"/>
          <w:b/>
          <w:bCs/>
          <w:color w:val="000000"/>
          <w:sz w:val="36"/>
          <w:szCs w:val="36"/>
          <w:bdr w:val="none" w:sz="0" w:space="0" w:color="auto" w:frame="1"/>
          <w:lang w:val="fr-FR"/>
        </w:rPr>
        <w:t> </w:t>
      </w:r>
      <w:r w:rsidRPr="007042DE">
        <w:rPr>
          <w:rStyle w:val="Textoennegrita"/>
          <w:rFonts w:asciiTheme="minorHAnsi" w:hAnsiTheme="minorHAnsi" w:cs="Arial"/>
          <w:color w:val="000000"/>
          <w:sz w:val="36"/>
          <w:szCs w:val="36"/>
          <w:bdr w:val="none" w:sz="0" w:space="0" w:color="auto" w:frame="1"/>
          <w:lang w:val="fr-FR"/>
        </w:rPr>
        <w:t>colloque international de l'</w:t>
      </w:r>
      <w:proofErr w:type="spellStart"/>
      <w:r w:rsidRPr="007042DE">
        <w:rPr>
          <w:rStyle w:val="Textoennegrita"/>
          <w:rFonts w:asciiTheme="minorHAnsi" w:hAnsiTheme="minorHAnsi" w:cs="Arial"/>
          <w:color w:val="000000"/>
          <w:sz w:val="36"/>
          <w:szCs w:val="36"/>
          <w:bdr w:val="none" w:sz="0" w:space="0" w:color="auto" w:frame="1"/>
          <w:lang w:val="fr-FR"/>
        </w:rPr>
        <w:t>AIDELF</w:t>
      </w:r>
      <w:proofErr w:type="spellEnd"/>
      <w:r w:rsidRPr="007042DE">
        <w:rPr>
          <w:rStyle w:val="Textoennegrita"/>
          <w:rFonts w:asciiTheme="minorHAnsi" w:hAnsiTheme="minorHAnsi" w:cs="Arial"/>
          <w:color w:val="000000"/>
          <w:sz w:val="36"/>
          <w:szCs w:val="36"/>
          <w:bdr w:val="none" w:sz="0" w:space="0" w:color="auto" w:frame="1"/>
          <w:lang w:val="fr-FR"/>
        </w:rPr>
        <w:t xml:space="preserve"> à Strasbourg (France)</w:t>
      </w:r>
    </w:p>
    <w:p w:rsidR="007042DE" w:rsidRDefault="007042DE" w:rsidP="007042DE">
      <w:pPr>
        <w:pStyle w:val="NormalWeb"/>
        <w:pBdr>
          <w:top w:val="single" w:sz="4" w:space="1" w:color="auto"/>
          <w:left w:val="single" w:sz="4" w:space="4" w:color="auto"/>
          <w:bottom w:val="single" w:sz="4" w:space="1" w:color="auto"/>
          <w:right w:val="single" w:sz="4" w:space="4" w:color="auto"/>
        </w:pBdr>
        <w:spacing w:before="0" w:beforeAutospacing="0" w:after="0" w:afterAutospacing="0" w:line="255" w:lineRule="atLeast"/>
        <w:textAlignment w:val="baseline"/>
        <w:rPr>
          <w:rFonts w:asciiTheme="minorHAnsi" w:hAnsiTheme="minorHAnsi" w:cs="Arial"/>
          <w:color w:val="000000"/>
          <w:bdr w:val="none" w:sz="0" w:space="0" w:color="auto" w:frame="1"/>
          <w:lang w:val="fr-FR"/>
        </w:rPr>
      </w:pPr>
      <w:r w:rsidRPr="007042DE">
        <w:rPr>
          <w:rFonts w:asciiTheme="minorHAnsi" w:hAnsiTheme="minorHAnsi" w:cs="Arial"/>
          <w:color w:val="000000"/>
          <w:bdr w:val="none" w:sz="0" w:space="0" w:color="auto" w:frame="1"/>
          <w:lang w:val="fr-FR"/>
        </w:rPr>
        <w:t>21</w:t>
      </w:r>
      <w:r>
        <w:rPr>
          <w:rFonts w:asciiTheme="minorHAnsi" w:hAnsiTheme="minorHAnsi" w:cs="Arial"/>
          <w:color w:val="000000"/>
          <w:bdr w:val="none" w:sz="0" w:space="0" w:color="auto" w:frame="1"/>
          <w:lang w:val="fr-FR"/>
        </w:rPr>
        <w:t>-</w:t>
      </w:r>
      <w:r w:rsidRPr="007042DE">
        <w:rPr>
          <w:rFonts w:asciiTheme="minorHAnsi" w:hAnsiTheme="minorHAnsi" w:cs="Arial"/>
          <w:color w:val="000000"/>
          <w:bdr w:val="none" w:sz="0" w:space="0" w:color="auto" w:frame="1"/>
          <w:lang w:val="fr-FR"/>
        </w:rPr>
        <w:t>24 juin 2016</w:t>
      </w:r>
    </w:p>
    <w:p w:rsidR="007042DE" w:rsidRPr="007042DE" w:rsidRDefault="007042DE" w:rsidP="007042DE">
      <w:pPr>
        <w:pStyle w:val="NormalWeb"/>
        <w:pBdr>
          <w:top w:val="single" w:sz="4" w:space="1" w:color="auto"/>
          <w:left w:val="single" w:sz="4" w:space="4" w:color="auto"/>
          <w:bottom w:val="single" w:sz="4" w:space="1" w:color="auto"/>
          <w:right w:val="single" w:sz="4" w:space="4" w:color="auto"/>
        </w:pBdr>
        <w:spacing w:before="0" w:beforeAutospacing="0" w:after="0" w:afterAutospacing="0" w:line="255" w:lineRule="atLeast"/>
        <w:textAlignment w:val="baseline"/>
        <w:rPr>
          <w:rFonts w:asciiTheme="minorHAnsi" w:hAnsiTheme="minorHAnsi" w:cs="Arial"/>
          <w:color w:val="000000"/>
          <w:lang w:val="fr-FR"/>
        </w:rPr>
      </w:pPr>
    </w:p>
    <w:p w:rsidR="007042DE" w:rsidRDefault="007042DE" w:rsidP="007042DE">
      <w:pPr>
        <w:pStyle w:val="NormalWeb"/>
        <w:pBdr>
          <w:top w:val="single" w:sz="4" w:space="1" w:color="auto"/>
          <w:left w:val="single" w:sz="4" w:space="4" w:color="auto"/>
          <w:bottom w:val="single" w:sz="4" w:space="1" w:color="auto"/>
          <w:right w:val="single" w:sz="4" w:space="4" w:color="auto"/>
        </w:pBdr>
        <w:spacing w:before="0" w:beforeAutospacing="0" w:after="0" w:afterAutospacing="0" w:line="255" w:lineRule="atLeast"/>
        <w:textAlignment w:val="baseline"/>
        <w:rPr>
          <w:rFonts w:asciiTheme="minorHAnsi" w:hAnsiTheme="minorHAnsi" w:cs="Arial"/>
          <w:b/>
          <w:color w:val="000000"/>
          <w:bdr w:val="none" w:sz="0" w:space="0" w:color="auto" w:frame="1"/>
          <w:lang w:val="fr-FR"/>
        </w:rPr>
      </w:pPr>
      <w:r w:rsidRPr="007042DE">
        <w:rPr>
          <w:rFonts w:asciiTheme="minorHAnsi" w:hAnsiTheme="minorHAnsi" w:cs="Arial"/>
          <w:b/>
          <w:color w:val="000000"/>
          <w:bdr w:val="none" w:sz="0" w:space="0" w:color="auto" w:frame="1"/>
          <w:lang w:val="fr-FR"/>
        </w:rPr>
        <w:t>« Configurations et dynamiques familiales »</w:t>
      </w:r>
    </w:p>
    <w:p w:rsidR="007042DE" w:rsidRPr="007042DE" w:rsidRDefault="007042DE" w:rsidP="007042DE">
      <w:pPr>
        <w:pStyle w:val="NormalWeb"/>
        <w:pBdr>
          <w:top w:val="single" w:sz="4" w:space="1" w:color="auto"/>
          <w:left w:val="single" w:sz="4" w:space="4" w:color="auto"/>
          <w:bottom w:val="single" w:sz="4" w:space="1" w:color="auto"/>
          <w:right w:val="single" w:sz="4" w:space="4" w:color="auto"/>
        </w:pBdr>
        <w:spacing w:before="0" w:beforeAutospacing="0" w:after="0" w:afterAutospacing="0" w:line="255" w:lineRule="atLeast"/>
        <w:textAlignment w:val="baseline"/>
        <w:rPr>
          <w:rFonts w:asciiTheme="minorHAnsi" w:hAnsiTheme="minorHAnsi" w:cs="Arial"/>
          <w:b/>
          <w:color w:val="000000"/>
          <w:lang w:val="fr-FR"/>
        </w:rPr>
      </w:pPr>
    </w:p>
    <w:p w:rsidR="007042DE" w:rsidRDefault="007042DE" w:rsidP="00115723">
      <w:pPr>
        <w:pStyle w:val="NormalWeb"/>
        <w:pBdr>
          <w:top w:val="single" w:sz="4" w:space="1" w:color="auto"/>
          <w:left w:val="single" w:sz="4" w:space="4" w:color="auto"/>
          <w:bottom w:val="single" w:sz="4" w:space="1" w:color="auto"/>
          <w:right w:val="single" w:sz="4" w:space="4" w:color="auto"/>
        </w:pBdr>
        <w:spacing w:before="0" w:beforeAutospacing="0" w:after="218" w:afterAutospacing="0" w:line="255" w:lineRule="atLeast"/>
        <w:textAlignment w:val="baseline"/>
        <w:rPr>
          <w:rFonts w:asciiTheme="minorHAnsi" w:hAnsiTheme="minorHAnsi" w:cs="Arial"/>
          <w:color w:val="000000"/>
          <w:lang w:val="fr-FR"/>
        </w:rPr>
      </w:pPr>
      <w:r w:rsidRPr="007042DE">
        <w:rPr>
          <w:rFonts w:asciiTheme="minorHAnsi" w:hAnsiTheme="minorHAnsi" w:cs="Arial"/>
          <w:color w:val="000000"/>
          <w:lang w:val="fr-FR"/>
        </w:rPr>
        <w:t>Organisé en collaboration avec l'Institut de démographie de l'Université de Strasbourg</w:t>
      </w:r>
    </w:p>
    <w:p w:rsidR="00115723" w:rsidRPr="00115723" w:rsidRDefault="00115723" w:rsidP="00115723">
      <w:pPr>
        <w:pStyle w:val="NormalWeb"/>
        <w:pBdr>
          <w:top w:val="single" w:sz="4" w:space="1" w:color="auto"/>
          <w:left w:val="single" w:sz="4" w:space="4" w:color="auto"/>
          <w:bottom w:val="single" w:sz="4" w:space="1" w:color="auto"/>
          <w:right w:val="single" w:sz="4" w:space="4" w:color="auto"/>
        </w:pBdr>
        <w:spacing w:before="0" w:beforeAutospacing="0" w:after="218" w:afterAutospacing="0" w:line="255" w:lineRule="atLeast"/>
        <w:textAlignment w:val="baseline"/>
        <w:rPr>
          <w:rFonts w:asciiTheme="minorHAnsi" w:hAnsiTheme="minorHAnsi" w:cs="Arial"/>
          <w:color w:val="000000"/>
          <w:lang w:val="fr-FR"/>
        </w:rPr>
      </w:pPr>
    </w:p>
    <w:p w:rsidR="003E3C8F" w:rsidRDefault="007042DE" w:rsidP="003E3C8F">
      <w:pPr>
        <w:spacing w:line="360" w:lineRule="auto"/>
        <w:jc w:val="both"/>
        <w:rPr>
          <w:b/>
          <w:sz w:val="24"/>
          <w:szCs w:val="24"/>
          <w:lang w:val="fr-FR"/>
        </w:rPr>
      </w:pPr>
      <w:r>
        <w:rPr>
          <w:b/>
          <w:sz w:val="24"/>
          <w:szCs w:val="24"/>
          <w:lang w:val="fr-FR"/>
        </w:rPr>
        <w:t>« </w:t>
      </w:r>
      <w:r w:rsidR="003E3C8F">
        <w:rPr>
          <w:b/>
          <w:sz w:val="24"/>
          <w:szCs w:val="24"/>
          <w:lang w:val="fr-FR"/>
        </w:rPr>
        <w:t>Bilan</w:t>
      </w:r>
      <w:r w:rsidR="003E3C8F" w:rsidRPr="003A5FDC">
        <w:rPr>
          <w:b/>
          <w:sz w:val="24"/>
          <w:szCs w:val="24"/>
          <w:lang w:val="fr-FR"/>
        </w:rPr>
        <w:t xml:space="preserve"> de dix ans du mariage universel en </w:t>
      </w:r>
      <w:r w:rsidR="003E3C8F">
        <w:rPr>
          <w:b/>
          <w:sz w:val="24"/>
          <w:szCs w:val="24"/>
          <w:lang w:val="fr-FR"/>
        </w:rPr>
        <w:t>Espagne (2005-2015) : évolution, distribution géographique et principales caractéristiques démographiques</w:t>
      </w:r>
      <w:r>
        <w:rPr>
          <w:b/>
          <w:sz w:val="24"/>
          <w:szCs w:val="24"/>
          <w:lang w:val="fr-FR"/>
        </w:rPr>
        <w:t> »</w:t>
      </w:r>
    </w:p>
    <w:p w:rsidR="00C1587B" w:rsidRPr="00A8220F" w:rsidRDefault="00C1587B" w:rsidP="003E3C8F">
      <w:pPr>
        <w:spacing w:line="360" w:lineRule="auto"/>
        <w:jc w:val="both"/>
        <w:rPr>
          <w:b/>
          <w:color w:val="FF0000"/>
          <w:sz w:val="28"/>
          <w:szCs w:val="28"/>
          <w:lang w:val="fr-FR"/>
        </w:rPr>
      </w:pPr>
      <w:r w:rsidRPr="00A8220F">
        <w:rPr>
          <w:b/>
          <w:color w:val="FF0000"/>
          <w:sz w:val="28"/>
          <w:szCs w:val="28"/>
          <w:highlight w:val="yellow"/>
          <w:lang w:val="fr-FR"/>
        </w:rPr>
        <w:t>TEXTE PROVISOIRE</w:t>
      </w:r>
    </w:p>
    <w:p w:rsidR="003E3C8F" w:rsidRPr="00115723" w:rsidRDefault="00115723" w:rsidP="00115723">
      <w:pPr>
        <w:spacing w:line="360" w:lineRule="auto"/>
        <w:jc w:val="right"/>
        <w:rPr>
          <w:sz w:val="24"/>
          <w:szCs w:val="24"/>
          <w:lang w:val="fr-FR"/>
        </w:rPr>
      </w:pPr>
      <w:r w:rsidRPr="00115723">
        <w:rPr>
          <w:sz w:val="24"/>
          <w:szCs w:val="24"/>
          <w:lang w:val="fr-FR"/>
        </w:rPr>
        <w:t>Alberto Capote</w:t>
      </w:r>
    </w:p>
    <w:p w:rsidR="00115723" w:rsidRPr="00A81B2D" w:rsidRDefault="00115723" w:rsidP="00A81B2D">
      <w:pPr>
        <w:spacing w:line="360" w:lineRule="auto"/>
        <w:jc w:val="right"/>
        <w:rPr>
          <w:sz w:val="24"/>
          <w:szCs w:val="24"/>
          <w:lang w:val="fr-FR"/>
        </w:rPr>
      </w:pPr>
      <w:r w:rsidRPr="00115723">
        <w:rPr>
          <w:sz w:val="24"/>
          <w:szCs w:val="24"/>
          <w:lang w:val="fr-FR"/>
        </w:rPr>
        <w:t>Université de Grenade (Espagne)</w:t>
      </w:r>
    </w:p>
    <w:p w:rsidR="00685E06" w:rsidRPr="00685E06" w:rsidRDefault="009036FA" w:rsidP="00685E06">
      <w:pPr>
        <w:spacing w:line="360" w:lineRule="auto"/>
        <w:jc w:val="both"/>
        <w:rPr>
          <w:b/>
          <w:sz w:val="24"/>
          <w:szCs w:val="24"/>
          <w:lang w:val="fr-FR"/>
        </w:rPr>
      </w:pPr>
      <w:r>
        <w:rPr>
          <w:b/>
          <w:sz w:val="24"/>
          <w:szCs w:val="24"/>
          <w:lang w:val="fr-FR"/>
        </w:rPr>
        <w:t xml:space="preserve">1/ </w:t>
      </w:r>
      <w:r w:rsidR="00685E06" w:rsidRPr="00685E06">
        <w:rPr>
          <w:b/>
          <w:sz w:val="24"/>
          <w:szCs w:val="24"/>
          <w:lang w:val="fr-FR"/>
        </w:rPr>
        <w:t>Introduction</w:t>
      </w:r>
    </w:p>
    <w:p w:rsidR="00E9170E" w:rsidRPr="00E9170E" w:rsidRDefault="00E9170E" w:rsidP="00E9170E">
      <w:pPr>
        <w:spacing w:before="100" w:beforeAutospacing="1" w:after="0" w:line="360" w:lineRule="auto"/>
        <w:ind w:firstLine="709"/>
        <w:jc w:val="both"/>
        <w:rPr>
          <w:rFonts w:eastAsia="Times New Roman" w:cs="Times New Roman"/>
          <w:sz w:val="24"/>
          <w:szCs w:val="24"/>
          <w:lang w:val="fr-FR" w:eastAsia="es-ES"/>
        </w:rPr>
      </w:pPr>
      <w:r w:rsidRPr="00E9170E">
        <w:rPr>
          <w:rFonts w:eastAsia="Times New Roman" w:cs="Times New Roman"/>
          <w:sz w:val="24"/>
          <w:szCs w:val="24"/>
          <w:lang w:val="fr-FR" w:eastAsia="es-ES"/>
        </w:rPr>
        <w:t xml:space="preserve">En 2005, l'Espagne a surpris au monde en devenant le troisième pays de l’Union Européenne qui légalise le mariage pour es personnes du même sexe, une des réformes les plus profondes du Droit de famille dans l'ordonnance juridique en Espagne (Soriano </w:t>
      </w:r>
      <w:proofErr w:type="spellStart"/>
      <w:r w:rsidRPr="00E9170E">
        <w:rPr>
          <w:rFonts w:eastAsia="Times New Roman" w:cs="Times New Roman"/>
          <w:sz w:val="24"/>
          <w:szCs w:val="24"/>
          <w:lang w:val="fr-FR" w:eastAsia="es-ES"/>
        </w:rPr>
        <w:t>Martínez</w:t>
      </w:r>
      <w:proofErr w:type="spellEnd"/>
      <w:r w:rsidRPr="00E9170E">
        <w:rPr>
          <w:rFonts w:eastAsia="Times New Roman" w:cs="Times New Roman"/>
          <w:sz w:val="24"/>
          <w:szCs w:val="24"/>
          <w:lang w:val="fr-FR" w:eastAsia="es-ES"/>
        </w:rPr>
        <w:t>, 2011). La loi espagnole ne fait pas de référence spécifique à l'adoption, étant implicitement assumée qu’il n’existe pas une exception dans le domaine pour les personnes du même sexe. Cependant, quelques inégalités persistent : par exemple, les couples hétérosexuels peuvent adopter sans avoir la nécessité d'être mariés; en revanche, pour les couples homosexuels une condition requise indispensable est le mariage ou être inscrit comme union libre (</w:t>
      </w:r>
      <w:proofErr w:type="spellStart"/>
      <w:r w:rsidRPr="00E9170E">
        <w:rPr>
          <w:rFonts w:eastAsia="Times New Roman" w:cs="Times New Roman"/>
          <w:sz w:val="24"/>
          <w:szCs w:val="24"/>
          <w:lang w:val="fr-FR" w:eastAsia="es-ES"/>
        </w:rPr>
        <w:t>Pichardo</w:t>
      </w:r>
      <w:proofErr w:type="spellEnd"/>
      <w:r w:rsidRPr="00E9170E">
        <w:rPr>
          <w:rFonts w:eastAsia="Times New Roman" w:cs="Times New Roman"/>
          <w:sz w:val="24"/>
          <w:szCs w:val="24"/>
          <w:lang w:val="fr-FR" w:eastAsia="es-ES"/>
        </w:rPr>
        <w:t xml:space="preserve">, 2009). </w:t>
      </w:r>
    </w:p>
    <w:p w:rsidR="00E9170E" w:rsidRPr="00E9170E" w:rsidRDefault="00E9170E" w:rsidP="00E9170E">
      <w:pPr>
        <w:spacing w:before="100" w:beforeAutospacing="1" w:after="0" w:line="360" w:lineRule="auto"/>
        <w:ind w:firstLine="709"/>
        <w:jc w:val="both"/>
        <w:rPr>
          <w:rFonts w:eastAsia="Times New Roman" w:cs="Times New Roman"/>
          <w:sz w:val="24"/>
          <w:szCs w:val="24"/>
          <w:lang w:val="fr-FR" w:eastAsia="es-ES"/>
        </w:rPr>
      </w:pPr>
      <w:r w:rsidRPr="00E9170E">
        <w:rPr>
          <w:rFonts w:eastAsia="Times New Roman" w:cs="Times New Roman"/>
          <w:sz w:val="24"/>
          <w:szCs w:val="24"/>
          <w:lang w:val="fr-FR" w:eastAsia="es-ES"/>
        </w:rPr>
        <w:t>Dix ans ont passé depuis la légalisation du « mariage pour tous et toutes », une période convulsée en Espagne marqué par une forte crise économique avec des conséquences dramatiques dans la destruction d'emploi. Le nouveau colloque de l'</w:t>
      </w:r>
      <w:proofErr w:type="spellStart"/>
      <w:r w:rsidRPr="00E9170E">
        <w:rPr>
          <w:rFonts w:eastAsia="Times New Roman" w:cs="Times New Roman"/>
          <w:sz w:val="24"/>
          <w:szCs w:val="24"/>
          <w:lang w:val="fr-FR" w:eastAsia="es-ES"/>
        </w:rPr>
        <w:t>Aidelf</w:t>
      </w:r>
      <w:proofErr w:type="spellEnd"/>
      <w:r w:rsidRPr="00E9170E">
        <w:rPr>
          <w:rFonts w:eastAsia="Times New Roman" w:cs="Times New Roman"/>
          <w:sz w:val="24"/>
          <w:szCs w:val="24"/>
          <w:lang w:val="fr-FR" w:eastAsia="es-ES"/>
        </w:rPr>
        <w:t xml:space="preserve"> sur les mutations et dynamiques familiales a coïncidé avec ce dixième anniversaire de l'universalisation du mariage en Espagne. C’est pour cela que nous avons eu l’idée de faire un bilan général du mariage homosexuel depuis son apparition </w:t>
      </w:r>
      <w:r w:rsidRPr="00E9170E">
        <w:rPr>
          <w:rFonts w:eastAsia="Times New Roman" w:cs="Times New Roman"/>
          <w:sz w:val="24"/>
          <w:szCs w:val="24"/>
          <w:lang w:val="fr-FR" w:eastAsia="es-ES"/>
        </w:rPr>
        <w:lastRenderedPageBreak/>
        <w:t xml:space="preserve">en 2005 jusqu'à l’heure actuelle : son évolution, sa distribution géographique et les principales caractéristiques sociodémographiques de ses acteurs. Il s'agit donc d'une présentation globale à partir des sources statistiques officielles disponibles en Espagne. </w:t>
      </w:r>
    </w:p>
    <w:p w:rsidR="00E9170E" w:rsidRPr="00E9170E" w:rsidRDefault="00A8220F" w:rsidP="00E9170E">
      <w:pPr>
        <w:spacing w:before="100" w:beforeAutospacing="1" w:after="0" w:line="360" w:lineRule="auto"/>
        <w:jc w:val="both"/>
        <w:rPr>
          <w:rFonts w:eastAsia="Times New Roman" w:cs="Times New Roman"/>
          <w:sz w:val="24"/>
          <w:szCs w:val="24"/>
          <w:lang w:val="fr-FR" w:eastAsia="es-ES"/>
        </w:rPr>
      </w:pPr>
      <w:r>
        <w:rPr>
          <w:rFonts w:eastAsia="Times New Roman" w:cs="Times New Roman"/>
          <w:sz w:val="24"/>
          <w:szCs w:val="24"/>
          <w:lang w:val="fr-FR" w:eastAsia="es-ES"/>
        </w:rPr>
        <w:tab/>
      </w:r>
      <w:r w:rsidR="00E9170E" w:rsidRPr="00E9170E">
        <w:rPr>
          <w:rFonts w:eastAsia="Times New Roman" w:cs="Times New Roman"/>
          <w:sz w:val="24"/>
          <w:szCs w:val="24"/>
          <w:lang w:val="fr-FR" w:eastAsia="es-ES"/>
        </w:rPr>
        <w:t xml:space="preserve">La législation du mariage homosexuel a eu lieu dans un contexte de confirmation de mutations des familles en Espagne. Au début du XXIe siècle elles sont plus plurielles (diversifiées ou nombreuses ?), plus versatiles, ainsi que plus fragiles, en rapport au modèle qui prédominait au siècle antérieur de famille traditionnelle (Castro Martín et </w:t>
      </w:r>
      <w:proofErr w:type="spellStart"/>
      <w:r w:rsidR="00E9170E" w:rsidRPr="00E9170E">
        <w:rPr>
          <w:rFonts w:eastAsia="Times New Roman" w:cs="Times New Roman"/>
          <w:sz w:val="24"/>
          <w:szCs w:val="24"/>
          <w:lang w:val="fr-FR" w:eastAsia="es-ES"/>
        </w:rPr>
        <w:t>Seiz</w:t>
      </w:r>
      <w:proofErr w:type="spellEnd"/>
      <w:r w:rsidR="00E9170E" w:rsidRPr="00E9170E">
        <w:rPr>
          <w:rFonts w:eastAsia="Times New Roman" w:cs="Times New Roman"/>
          <w:sz w:val="24"/>
          <w:szCs w:val="24"/>
          <w:lang w:val="fr-FR" w:eastAsia="es-ES"/>
        </w:rPr>
        <w:t xml:space="preserve"> </w:t>
      </w:r>
      <w:proofErr w:type="spellStart"/>
      <w:r w:rsidR="00E9170E" w:rsidRPr="00E9170E">
        <w:rPr>
          <w:rFonts w:eastAsia="Times New Roman" w:cs="Times New Roman"/>
          <w:sz w:val="24"/>
          <w:szCs w:val="24"/>
          <w:lang w:val="fr-FR" w:eastAsia="es-ES"/>
        </w:rPr>
        <w:t>Puyuelo</w:t>
      </w:r>
      <w:proofErr w:type="spellEnd"/>
      <w:r w:rsidR="00E9170E" w:rsidRPr="00E9170E">
        <w:rPr>
          <w:rFonts w:eastAsia="Times New Roman" w:cs="Times New Roman"/>
          <w:sz w:val="24"/>
          <w:szCs w:val="24"/>
          <w:lang w:val="fr-FR" w:eastAsia="es-ES"/>
        </w:rPr>
        <w:t xml:space="preserve">, 2014). Le taux brut de nuptialité a passé de 5,37 en 1990 à 3,6 en 2012. Cette réduction s'est accompagné d'autres changements : le retard de l'âge du premier mariage, l'augmentation des mariages en secondes noces et le processus rapide de sécularisation dans la formation de mariages (Castro Martín et </w:t>
      </w:r>
      <w:proofErr w:type="spellStart"/>
      <w:r w:rsidR="00E9170E" w:rsidRPr="00E9170E">
        <w:rPr>
          <w:rFonts w:eastAsia="Times New Roman" w:cs="Times New Roman"/>
          <w:sz w:val="24"/>
          <w:szCs w:val="24"/>
          <w:lang w:val="fr-FR" w:eastAsia="es-ES"/>
        </w:rPr>
        <w:t>Seiz</w:t>
      </w:r>
      <w:proofErr w:type="spellEnd"/>
      <w:r w:rsidR="00E9170E" w:rsidRPr="00E9170E">
        <w:rPr>
          <w:rFonts w:eastAsia="Times New Roman" w:cs="Times New Roman"/>
          <w:sz w:val="24"/>
          <w:szCs w:val="24"/>
          <w:lang w:val="fr-FR" w:eastAsia="es-ES"/>
        </w:rPr>
        <w:t xml:space="preserve"> </w:t>
      </w:r>
      <w:proofErr w:type="spellStart"/>
      <w:r w:rsidR="00E9170E" w:rsidRPr="00E9170E">
        <w:rPr>
          <w:rFonts w:eastAsia="Times New Roman" w:cs="Times New Roman"/>
          <w:sz w:val="24"/>
          <w:szCs w:val="24"/>
          <w:lang w:val="fr-FR" w:eastAsia="es-ES"/>
        </w:rPr>
        <w:t>Puyuelo</w:t>
      </w:r>
      <w:proofErr w:type="spellEnd"/>
      <w:r w:rsidR="00E9170E" w:rsidRPr="00E9170E">
        <w:rPr>
          <w:rFonts w:eastAsia="Times New Roman" w:cs="Times New Roman"/>
          <w:sz w:val="24"/>
          <w:szCs w:val="24"/>
          <w:lang w:val="fr-FR" w:eastAsia="es-ES"/>
        </w:rPr>
        <w:t xml:space="preserve">, 2014). Les familles classiques, sans lien matrimonial, monoparentales, reconstruites, transnationales, </w:t>
      </w:r>
      <w:proofErr w:type="spellStart"/>
      <w:r w:rsidR="00E9170E" w:rsidRPr="00E9170E">
        <w:rPr>
          <w:rFonts w:eastAsia="Times New Roman" w:cs="Times New Roman"/>
          <w:sz w:val="24"/>
          <w:szCs w:val="24"/>
          <w:lang w:val="fr-FR" w:eastAsia="es-ES"/>
        </w:rPr>
        <w:t>etc</w:t>
      </w:r>
      <w:proofErr w:type="spellEnd"/>
      <w:r w:rsidR="00E9170E" w:rsidRPr="00E9170E">
        <w:rPr>
          <w:rFonts w:eastAsia="Times New Roman" w:cs="Times New Roman"/>
          <w:sz w:val="24"/>
          <w:szCs w:val="24"/>
          <w:lang w:val="fr-FR" w:eastAsia="es-ES"/>
        </w:rPr>
        <w:t xml:space="preserve">..., vivent ensemble actuellement dans la société espagnole. Cette transformation s'est produite avec une rapidité considérable en Espagne en rapport aux autres pays européens. </w:t>
      </w:r>
    </w:p>
    <w:p w:rsidR="00A8220F" w:rsidRDefault="00E9170E" w:rsidP="00A81B2D">
      <w:pPr>
        <w:spacing w:before="100" w:beforeAutospacing="1" w:after="0" w:line="360" w:lineRule="auto"/>
        <w:ind w:firstLine="709"/>
        <w:jc w:val="both"/>
        <w:rPr>
          <w:rFonts w:eastAsia="Times New Roman" w:cs="Times New Roman"/>
          <w:sz w:val="24"/>
          <w:szCs w:val="24"/>
          <w:lang w:val="fr-FR" w:eastAsia="es-ES"/>
        </w:rPr>
      </w:pPr>
      <w:r w:rsidRPr="00E9170E">
        <w:rPr>
          <w:rFonts w:eastAsia="Times New Roman" w:cs="Times New Roman"/>
          <w:sz w:val="24"/>
          <w:szCs w:val="24"/>
          <w:lang w:val="fr-FR" w:eastAsia="es-ES"/>
        </w:rPr>
        <w:t>D’autre part, il faut remarquer que l'Espagne a commencé la législation des unions homosexuelles à la fin des années 90. Entre 1998 et 2005 douze des dix-sept communautés autonomes de l'État espagnol ont créé une législation pour inscrire les couples de fait sans considération de l'orientation sexuelle. Processus qui a sans doute permis de préparer le terrain social pour la législation du mariage homosexuel en Espagne en 2005.</w:t>
      </w:r>
    </w:p>
    <w:p w:rsidR="00A81B2D" w:rsidRPr="00A81B2D" w:rsidRDefault="00A81B2D" w:rsidP="00A81B2D">
      <w:pPr>
        <w:spacing w:before="100" w:beforeAutospacing="1" w:after="0" w:line="360" w:lineRule="auto"/>
        <w:ind w:firstLine="709"/>
        <w:jc w:val="both"/>
        <w:rPr>
          <w:rFonts w:eastAsia="Times New Roman" w:cs="Times New Roman"/>
          <w:sz w:val="24"/>
          <w:szCs w:val="24"/>
          <w:lang w:val="fr-FR" w:eastAsia="es-ES"/>
        </w:rPr>
      </w:pPr>
    </w:p>
    <w:p w:rsidR="00E9170E" w:rsidRPr="00E9170E" w:rsidRDefault="00E9170E" w:rsidP="00E9170E">
      <w:pPr>
        <w:spacing w:before="100" w:beforeAutospacing="1" w:after="0" w:line="360" w:lineRule="auto"/>
        <w:jc w:val="both"/>
        <w:rPr>
          <w:rFonts w:eastAsia="Times New Roman" w:cs="Times New Roman"/>
          <w:sz w:val="24"/>
          <w:szCs w:val="24"/>
          <w:lang w:val="fr-FR" w:eastAsia="es-ES"/>
        </w:rPr>
      </w:pPr>
      <w:r w:rsidRPr="00E9170E">
        <w:rPr>
          <w:rFonts w:eastAsia="Times New Roman" w:cs="Times New Roman"/>
          <w:b/>
          <w:bCs/>
          <w:sz w:val="24"/>
          <w:szCs w:val="24"/>
          <w:lang w:val="fr-FR" w:eastAsia="es-ES"/>
        </w:rPr>
        <w:t>2/ Objectifs et méthodologie</w:t>
      </w:r>
    </w:p>
    <w:p w:rsidR="00E9170E" w:rsidRPr="00E9170E" w:rsidRDefault="00E9170E" w:rsidP="00E9170E">
      <w:pPr>
        <w:spacing w:before="100" w:beforeAutospacing="1" w:after="0" w:line="360" w:lineRule="auto"/>
        <w:jc w:val="both"/>
        <w:rPr>
          <w:rFonts w:eastAsia="Times New Roman" w:cs="Times New Roman"/>
          <w:sz w:val="24"/>
          <w:szCs w:val="24"/>
          <w:lang w:val="fr-FR" w:eastAsia="es-ES"/>
        </w:rPr>
      </w:pPr>
      <w:r w:rsidRPr="00E9170E">
        <w:rPr>
          <w:rFonts w:eastAsia="Times New Roman" w:cs="Times New Roman"/>
          <w:sz w:val="24"/>
          <w:szCs w:val="24"/>
          <w:lang w:val="fr-FR" w:eastAsia="es-ES"/>
        </w:rPr>
        <w:t xml:space="preserve">La communication est composée par trois parties : </w:t>
      </w:r>
    </w:p>
    <w:p w:rsidR="00E9170E" w:rsidRPr="00E9170E" w:rsidRDefault="00E9170E" w:rsidP="00E9170E">
      <w:pPr>
        <w:spacing w:before="100" w:beforeAutospacing="1" w:after="0" w:line="360" w:lineRule="auto"/>
        <w:ind w:firstLine="709"/>
        <w:jc w:val="both"/>
        <w:rPr>
          <w:rFonts w:eastAsia="Times New Roman" w:cs="Times New Roman"/>
          <w:sz w:val="24"/>
          <w:szCs w:val="24"/>
          <w:lang w:val="fr-FR" w:eastAsia="es-ES"/>
        </w:rPr>
      </w:pPr>
      <w:r w:rsidRPr="00E9170E">
        <w:rPr>
          <w:rFonts w:eastAsia="Times New Roman" w:cs="Times New Roman"/>
          <w:sz w:val="24"/>
          <w:szCs w:val="24"/>
          <w:lang w:val="fr-FR" w:eastAsia="es-ES"/>
        </w:rPr>
        <w:t xml:space="preserve">a/ En premier lieu, nous allons analyser l'évolution du mariage homosexuel depuis sa législation jusqu'à l’heure actuelle. Les questions que nous nous posons ici sont les suivantes : la trajectoire du mariage entre les personnes du même sexe: </w:t>
      </w:r>
      <w:r w:rsidRPr="00E9170E">
        <w:rPr>
          <w:rFonts w:eastAsia="Times New Roman" w:cs="Times New Roman"/>
          <w:sz w:val="24"/>
          <w:szCs w:val="24"/>
          <w:lang w:val="fr-FR" w:eastAsia="es-ES"/>
        </w:rPr>
        <w:lastRenderedPageBreak/>
        <w:t>présente-t-il une évolution similaire ou différente en fonction du genre ? Est-ce qu’il y a des divergences en rapport au mariage hétérosexuel pendant les années de la crise économique ? Comme dans autres pays européens, dans les dernières décennies le nombre de mariages en Espagne s’est réduit au même temps que les unions de fait ont au</w:t>
      </w:r>
      <w:r>
        <w:rPr>
          <w:rFonts w:eastAsia="Times New Roman" w:cs="Times New Roman"/>
          <w:sz w:val="24"/>
          <w:szCs w:val="24"/>
          <w:lang w:val="fr-FR" w:eastAsia="es-ES"/>
        </w:rPr>
        <w:t>gmenté de manière significative</w:t>
      </w:r>
      <w:r w:rsidRPr="00E9170E">
        <w:rPr>
          <w:rFonts w:eastAsia="Times New Roman" w:cs="Times New Roman"/>
          <w:sz w:val="24"/>
          <w:szCs w:val="24"/>
          <w:lang w:val="fr-FR" w:eastAsia="es-ES"/>
        </w:rPr>
        <w:t>, mais avec un certain niveau de retard en comparaison avec les pays voisins (</w:t>
      </w:r>
      <w:proofErr w:type="spellStart"/>
      <w:r w:rsidRPr="00E9170E">
        <w:rPr>
          <w:rFonts w:eastAsia="Times New Roman" w:cs="Times New Roman"/>
          <w:sz w:val="24"/>
          <w:szCs w:val="24"/>
          <w:lang w:val="fr-FR" w:eastAsia="es-ES"/>
        </w:rPr>
        <w:t>Muñoz</w:t>
      </w:r>
      <w:proofErr w:type="spellEnd"/>
      <w:r w:rsidRPr="00E9170E">
        <w:rPr>
          <w:rFonts w:eastAsia="Times New Roman" w:cs="Times New Roman"/>
          <w:sz w:val="24"/>
          <w:szCs w:val="24"/>
          <w:lang w:val="fr-FR" w:eastAsia="es-ES"/>
        </w:rPr>
        <w:t xml:space="preserve"> Perez et </w:t>
      </w:r>
      <w:proofErr w:type="spellStart"/>
      <w:r w:rsidRPr="00E9170E">
        <w:rPr>
          <w:rFonts w:eastAsia="Times New Roman" w:cs="Times New Roman"/>
          <w:sz w:val="24"/>
          <w:szCs w:val="24"/>
          <w:lang w:val="fr-FR" w:eastAsia="es-ES"/>
        </w:rPr>
        <w:t>Recaño</w:t>
      </w:r>
      <w:proofErr w:type="spellEnd"/>
      <w:r w:rsidRPr="00E9170E">
        <w:rPr>
          <w:rFonts w:eastAsia="Times New Roman" w:cs="Times New Roman"/>
          <w:sz w:val="24"/>
          <w:szCs w:val="24"/>
          <w:lang w:val="fr-FR" w:eastAsia="es-ES"/>
        </w:rPr>
        <w:t xml:space="preserve"> </w:t>
      </w:r>
      <w:proofErr w:type="spellStart"/>
      <w:r w:rsidRPr="00E9170E">
        <w:rPr>
          <w:rFonts w:eastAsia="Times New Roman" w:cs="Times New Roman"/>
          <w:sz w:val="24"/>
          <w:szCs w:val="24"/>
          <w:lang w:val="fr-FR" w:eastAsia="es-ES"/>
        </w:rPr>
        <w:t>Valverde</w:t>
      </w:r>
      <w:proofErr w:type="spellEnd"/>
      <w:r w:rsidRPr="00E9170E">
        <w:rPr>
          <w:rFonts w:eastAsia="Times New Roman" w:cs="Times New Roman"/>
          <w:sz w:val="24"/>
          <w:szCs w:val="24"/>
          <w:lang w:val="fr-FR" w:eastAsia="es-ES"/>
        </w:rPr>
        <w:t>, 2011). Au cours des dernières années, durant la crise économique, la descente est devenue plus intense. De 2006 jusqu'à 2014 le nombre de mariages en Espagne a diminué progressivement, avec l'unique exception de 2012, année dans laquelle nous pouvons noter une légère montée. Donc, la légalisation du mariage homosexuel a eu lieu en Espagne dans un contexte de changements dans la conception du mariage et dans les moments préalables à l'éclatement de la crise économique en Espagne.</w:t>
      </w:r>
    </w:p>
    <w:p w:rsidR="00E9170E" w:rsidRPr="00E9170E" w:rsidRDefault="00E9170E" w:rsidP="00E9170E">
      <w:pPr>
        <w:spacing w:before="100" w:beforeAutospacing="1" w:after="0" w:line="360" w:lineRule="auto"/>
        <w:ind w:firstLine="709"/>
        <w:jc w:val="both"/>
        <w:rPr>
          <w:rFonts w:eastAsia="Times New Roman" w:cs="Times New Roman"/>
          <w:sz w:val="24"/>
          <w:szCs w:val="24"/>
          <w:lang w:val="fr-FR" w:eastAsia="es-ES"/>
        </w:rPr>
      </w:pPr>
      <w:r w:rsidRPr="00E9170E">
        <w:rPr>
          <w:rFonts w:eastAsia="Times New Roman" w:cs="Times New Roman"/>
          <w:sz w:val="24"/>
          <w:szCs w:val="24"/>
          <w:lang w:val="fr-FR" w:eastAsia="es-ES"/>
        </w:rPr>
        <w:t>b/ Par la suite, nous allons examiner la distribution géographique du mariage homosexuel dans la géographie espagnole. L'analyse a été réalisée à différentes échelles : par communautés autonomes, par provinces et en fonction des principales villes espagnoles. Est-ce que l'impact a été similaire dans la géographie espagnole ? Nous nous poserons aussi poser la question de la différenciation en fonction du genre.</w:t>
      </w:r>
    </w:p>
    <w:p w:rsidR="00685E06" w:rsidRPr="00E9170E" w:rsidRDefault="00E9170E" w:rsidP="00E9170E">
      <w:pPr>
        <w:spacing w:before="100" w:beforeAutospacing="1" w:after="0" w:line="360" w:lineRule="auto"/>
        <w:ind w:firstLine="709"/>
        <w:jc w:val="both"/>
        <w:rPr>
          <w:rFonts w:eastAsia="Times New Roman" w:cs="Times New Roman"/>
          <w:sz w:val="24"/>
          <w:szCs w:val="24"/>
          <w:lang w:val="fr-FR" w:eastAsia="es-ES"/>
        </w:rPr>
      </w:pPr>
      <w:r w:rsidRPr="00E9170E">
        <w:rPr>
          <w:rFonts w:eastAsia="Times New Roman" w:cs="Times New Roman"/>
          <w:sz w:val="24"/>
          <w:szCs w:val="24"/>
          <w:lang w:val="fr-FR" w:eastAsia="es-ES"/>
        </w:rPr>
        <w:t xml:space="preserve">c/ En dernier lieu, nous verrons une étude des caractéristiques principales démographiques des mariages homosexuels. Il faut remarquer qu'ici nous avons pris comme guide les études pionnières réalisées en España par Cabré et </w:t>
      </w:r>
      <w:proofErr w:type="spellStart"/>
      <w:r w:rsidRPr="00E9170E">
        <w:rPr>
          <w:rFonts w:eastAsia="Times New Roman" w:cs="Times New Roman"/>
          <w:sz w:val="24"/>
          <w:szCs w:val="24"/>
          <w:lang w:val="fr-FR" w:eastAsia="es-ES"/>
        </w:rPr>
        <w:t>Cortina</w:t>
      </w:r>
      <w:proofErr w:type="spellEnd"/>
      <w:r w:rsidRPr="00E9170E">
        <w:rPr>
          <w:rFonts w:eastAsia="Times New Roman" w:cs="Times New Roman"/>
          <w:sz w:val="24"/>
          <w:szCs w:val="24"/>
          <w:lang w:val="fr-FR" w:eastAsia="es-ES"/>
        </w:rPr>
        <w:t xml:space="preserve"> (2010). Dans une étude réalisée à partir des unions homosexuelles inscrites dans le Recensement espagnol de 2001 (unions libres avant la loi de 2005) les auteurs sont arrivés aux conclusions suivantes : les couples étaient formées par de jeunes conjoints, avec un élevé niveau de formation et pour résider dans des espaces urbains. Par ailleurs, comme dans d'autres pays européens (la Suède ou la Norvège), la composition de ces unions était caractérisée par un plus grand degré </w:t>
      </w:r>
      <w:r w:rsidRPr="00A81B2D">
        <w:rPr>
          <w:rFonts w:eastAsia="Times New Roman" w:cs="Times New Roman"/>
          <w:sz w:val="24"/>
          <w:szCs w:val="24"/>
          <w:shd w:val="clear" w:color="auto" w:fill="FFFF00"/>
          <w:lang w:val="fr-FR" w:eastAsia="es-ES"/>
        </w:rPr>
        <w:t>d'hétérogamie</w:t>
      </w:r>
      <w:r w:rsidRPr="00E9170E">
        <w:rPr>
          <w:rFonts w:eastAsia="Times New Roman" w:cs="Times New Roman"/>
          <w:sz w:val="24"/>
          <w:szCs w:val="24"/>
          <w:lang w:val="fr-FR" w:eastAsia="es-ES"/>
        </w:rPr>
        <w:t xml:space="preserve"> en comparaison des paires hétérosexuelles en fonction de variables comme l’âge, la nationalité et le niveau d’études. Maintenant il s'agit de voir si cette tendance se manifeste aussi avec les mariages homosexuels à partir des données du dernier recensement espagnol de population (2011).</w:t>
      </w:r>
    </w:p>
    <w:p w:rsidR="00BC53C3" w:rsidRDefault="00FE0B27" w:rsidP="00A371BD">
      <w:pPr>
        <w:spacing w:line="360" w:lineRule="auto"/>
        <w:ind w:firstLine="708"/>
        <w:jc w:val="both"/>
        <w:rPr>
          <w:sz w:val="24"/>
          <w:szCs w:val="24"/>
          <w:lang w:val="fr-FR"/>
        </w:rPr>
      </w:pPr>
      <w:r>
        <w:rPr>
          <w:sz w:val="24"/>
          <w:szCs w:val="24"/>
          <w:lang w:val="fr-FR"/>
        </w:rPr>
        <w:lastRenderedPageBreak/>
        <w:t xml:space="preserve">Pour répondre à ces questions nous avons utilisé deux sources de l’Institut National des Statistiques en Espagne (INE). D’une part, les donnes du Mouvement Naturel de Population, qui publie chaque année les décès, les naissances et les mariages en Espagne. </w:t>
      </w:r>
      <w:r w:rsidR="00C247F0" w:rsidRPr="00C247F0">
        <w:rPr>
          <w:sz w:val="24"/>
          <w:szCs w:val="24"/>
          <w:lang w:val="fr-FR"/>
        </w:rPr>
        <w:t xml:space="preserve">Cette </w:t>
      </w:r>
      <w:r w:rsidR="00C247F0">
        <w:rPr>
          <w:sz w:val="24"/>
          <w:szCs w:val="24"/>
          <w:lang w:val="fr-FR"/>
        </w:rPr>
        <w:t>source</w:t>
      </w:r>
      <w:r w:rsidR="00C247F0" w:rsidRPr="00C247F0">
        <w:rPr>
          <w:sz w:val="24"/>
          <w:szCs w:val="24"/>
          <w:lang w:val="fr-FR"/>
        </w:rPr>
        <w:t xml:space="preserve"> nous permettra de connaître l'évolution du mariage homosexuel depuis son apparition jusqu'à la date la plus récente (2014), en faisant la distinction entre les unions entre hommes et </w:t>
      </w:r>
      <w:r w:rsidR="00C247F0">
        <w:rPr>
          <w:sz w:val="24"/>
          <w:szCs w:val="24"/>
          <w:lang w:val="fr-FR"/>
        </w:rPr>
        <w:t>celles des femmes</w:t>
      </w:r>
      <w:r w:rsidR="00206FF5">
        <w:rPr>
          <w:sz w:val="24"/>
          <w:szCs w:val="24"/>
          <w:lang w:val="fr-FR"/>
        </w:rPr>
        <w:t>, ainsi que sa distribution géographique</w:t>
      </w:r>
      <w:r w:rsidR="00C247F0">
        <w:rPr>
          <w:sz w:val="24"/>
          <w:szCs w:val="24"/>
          <w:lang w:val="fr-FR"/>
        </w:rPr>
        <w:t xml:space="preserve">. </w:t>
      </w:r>
      <w:r w:rsidR="00206FF5">
        <w:rPr>
          <w:sz w:val="24"/>
          <w:szCs w:val="24"/>
          <w:lang w:val="fr-FR"/>
        </w:rPr>
        <w:t>D’autre part</w:t>
      </w:r>
      <w:r w:rsidR="00206FF5" w:rsidRPr="00206FF5">
        <w:rPr>
          <w:sz w:val="24"/>
          <w:szCs w:val="24"/>
          <w:lang w:val="fr-FR"/>
        </w:rPr>
        <w:t xml:space="preserve">, avec le dernier recensement espagnol de population (2011) nous pourrons mieux connaître </w:t>
      </w:r>
      <w:r w:rsidR="00206FF5">
        <w:rPr>
          <w:sz w:val="24"/>
          <w:szCs w:val="24"/>
          <w:lang w:val="fr-FR"/>
        </w:rPr>
        <w:t>les profils</w:t>
      </w:r>
      <w:r w:rsidR="00206FF5" w:rsidRPr="00206FF5">
        <w:rPr>
          <w:sz w:val="24"/>
          <w:szCs w:val="24"/>
          <w:lang w:val="fr-FR"/>
        </w:rPr>
        <w:t xml:space="preserve"> profil des conjoints.</w:t>
      </w:r>
      <w:r w:rsidR="00BC53C3">
        <w:rPr>
          <w:sz w:val="24"/>
          <w:szCs w:val="24"/>
          <w:lang w:val="fr-FR"/>
        </w:rPr>
        <w:t xml:space="preserve"> </w:t>
      </w:r>
      <w:r w:rsidR="00BC53C3" w:rsidRPr="00B512AB">
        <w:rPr>
          <w:sz w:val="24"/>
          <w:szCs w:val="24"/>
          <w:lang w:val="fr-FR"/>
        </w:rPr>
        <w:t>Cette analyse sociodémographique sera complétée par quelques témoignages</w:t>
      </w:r>
      <w:r w:rsidR="00BC53C3">
        <w:rPr>
          <w:sz w:val="24"/>
          <w:szCs w:val="24"/>
          <w:lang w:val="fr-FR"/>
        </w:rPr>
        <w:t xml:space="preserve"> </w:t>
      </w:r>
      <w:r w:rsidR="00BC53C3" w:rsidRPr="003A5FDC">
        <w:rPr>
          <w:sz w:val="24"/>
          <w:szCs w:val="24"/>
          <w:lang w:val="fr-FR"/>
        </w:rPr>
        <w:t>qui peuvent nous montrer</w:t>
      </w:r>
      <w:r w:rsidR="00BC53C3">
        <w:rPr>
          <w:sz w:val="24"/>
          <w:szCs w:val="24"/>
          <w:lang w:val="fr-FR"/>
        </w:rPr>
        <w:t xml:space="preserve"> leur</w:t>
      </w:r>
      <w:r w:rsidR="00BC53C3" w:rsidRPr="003A5FDC">
        <w:rPr>
          <w:sz w:val="24"/>
          <w:szCs w:val="24"/>
          <w:lang w:val="fr-FR"/>
        </w:rPr>
        <w:t xml:space="preserve"> perception sur ces dix premières années du mariage universel en Espagne.</w:t>
      </w:r>
    </w:p>
    <w:p w:rsidR="00904EA1" w:rsidRDefault="00904EA1" w:rsidP="00685E06">
      <w:pPr>
        <w:spacing w:line="360" w:lineRule="auto"/>
        <w:jc w:val="both"/>
        <w:rPr>
          <w:sz w:val="24"/>
          <w:szCs w:val="24"/>
          <w:lang w:val="fr-FR"/>
        </w:rPr>
      </w:pPr>
    </w:p>
    <w:p w:rsidR="00685E06" w:rsidRPr="00685E06" w:rsidRDefault="00115723" w:rsidP="00685E06">
      <w:pPr>
        <w:spacing w:line="360" w:lineRule="auto"/>
        <w:jc w:val="both"/>
        <w:rPr>
          <w:b/>
          <w:sz w:val="24"/>
          <w:szCs w:val="24"/>
          <w:lang w:val="fr-FR"/>
        </w:rPr>
      </w:pPr>
      <w:r>
        <w:rPr>
          <w:b/>
          <w:sz w:val="24"/>
          <w:szCs w:val="24"/>
          <w:lang w:val="fr-FR"/>
        </w:rPr>
        <w:t>3</w:t>
      </w:r>
      <w:r w:rsidR="009036FA">
        <w:rPr>
          <w:b/>
          <w:sz w:val="24"/>
          <w:szCs w:val="24"/>
          <w:lang w:val="fr-FR"/>
        </w:rPr>
        <w:t xml:space="preserve">/ </w:t>
      </w:r>
      <w:r w:rsidR="00685E06" w:rsidRPr="00685E06">
        <w:rPr>
          <w:b/>
          <w:sz w:val="24"/>
          <w:szCs w:val="24"/>
          <w:lang w:val="fr-FR"/>
        </w:rPr>
        <w:t>Evolution du mariage homosexuel en Espagne</w:t>
      </w:r>
    </w:p>
    <w:p w:rsidR="008A789E" w:rsidRDefault="008A789E" w:rsidP="005E056A">
      <w:pPr>
        <w:spacing w:line="360" w:lineRule="auto"/>
        <w:jc w:val="both"/>
        <w:rPr>
          <w:sz w:val="24"/>
          <w:szCs w:val="24"/>
          <w:lang w:val="fr-FR"/>
        </w:rPr>
      </w:pPr>
    </w:p>
    <w:p w:rsidR="00026213" w:rsidRDefault="003A2842" w:rsidP="003B3DAB">
      <w:pPr>
        <w:spacing w:line="360" w:lineRule="auto"/>
        <w:jc w:val="both"/>
        <w:rPr>
          <w:sz w:val="24"/>
          <w:szCs w:val="24"/>
          <w:lang w:val="fr-FR"/>
        </w:rPr>
      </w:pPr>
      <w:r>
        <w:rPr>
          <w:sz w:val="24"/>
          <w:szCs w:val="24"/>
          <w:lang w:val="fr-FR"/>
        </w:rPr>
        <w:tab/>
      </w:r>
      <w:r w:rsidR="008778A6">
        <w:rPr>
          <w:sz w:val="24"/>
          <w:szCs w:val="24"/>
          <w:lang w:val="fr-FR"/>
        </w:rPr>
        <w:t xml:space="preserve">Dans le graphique nº1 nous avons représenté l’évolution du mariage pour personnes du même sexe en fonction du genre. Comme nous pouvons voir, dans un premier moment, les mariages entre hommes sont clairement prédominants : en 2006 ils représentaient presque trois sur quatre des unions entre personnes du même sexe. </w:t>
      </w:r>
      <w:r w:rsidR="008778A6" w:rsidRPr="007866CC">
        <w:rPr>
          <w:sz w:val="24"/>
          <w:szCs w:val="24"/>
          <w:lang w:val="fr-FR"/>
        </w:rPr>
        <w:t xml:space="preserve">Dans les années successives, </w:t>
      </w:r>
      <w:r w:rsidR="008778A6">
        <w:rPr>
          <w:sz w:val="24"/>
          <w:szCs w:val="24"/>
          <w:lang w:val="fr-FR"/>
        </w:rPr>
        <w:t>cet écart s’est</w:t>
      </w:r>
      <w:r w:rsidR="008778A6" w:rsidRPr="007866CC">
        <w:rPr>
          <w:sz w:val="24"/>
          <w:szCs w:val="24"/>
          <w:lang w:val="fr-FR"/>
        </w:rPr>
        <w:t xml:space="preserve"> </w:t>
      </w:r>
      <w:r w:rsidR="008778A6">
        <w:rPr>
          <w:sz w:val="24"/>
          <w:szCs w:val="24"/>
          <w:lang w:val="fr-FR"/>
        </w:rPr>
        <w:t xml:space="preserve">progressivement réduit,  </w:t>
      </w:r>
      <w:r w:rsidR="008778A6" w:rsidRPr="00A71E54">
        <w:rPr>
          <w:sz w:val="24"/>
          <w:szCs w:val="24"/>
          <w:lang w:val="fr-FR"/>
        </w:rPr>
        <w:t>jusqu'à atteindre une proportion presque équilibrée en 2014.</w:t>
      </w:r>
      <w:r w:rsidR="008778A6">
        <w:rPr>
          <w:sz w:val="24"/>
          <w:szCs w:val="24"/>
          <w:lang w:val="fr-FR"/>
        </w:rPr>
        <w:t xml:space="preserve"> </w:t>
      </w:r>
      <w:r w:rsidR="008778A6" w:rsidRPr="003B3DAB">
        <w:rPr>
          <w:sz w:val="24"/>
          <w:szCs w:val="24"/>
          <w:lang w:val="fr-FR"/>
        </w:rPr>
        <w:t>2006 a été la date d</w:t>
      </w:r>
      <w:r w:rsidR="008778A6">
        <w:rPr>
          <w:sz w:val="24"/>
          <w:szCs w:val="24"/>
          <w:lang w:val="fr-FR"/>
        </w:rPr>
        <w:t xml:space="preserve">ans laquelle se sont inscrits </w:t>
      </w:r>
      <w:r w:rsidR="008778A6" w:rsidRPr="003372EF">
        <w:rPr>
          <w:sz w:val="24"/>
          <w:szCs w:val="24"/>
          <w:lang w:val="fr-FR"/>
        </w:rPr>
        <w:t>le</w:t>
      </w:r>
      <w:r w:rsidR="008778A6" w:rsidRPr="003B3DAB">
        <w:rPr>
          <w:sz w:val="24"/>
          <w:szCs w:val="24"/>
          <w:lang w:val="fr-FR"/>
        </w:rPr>
        <w:t xml:space="preserve"> plus grand nombre de mariages entre hommes</w:t>
      </w:r>
      <w:r w:rsidR="008778A6">
        <w:rPr>
          <w:sz w:val="24"/>
          <w:szCs w:val="24"/>
          <w:lang w:val="fr-FR"/>
        </w:rPr>
        <w:t xml:space="preserve"> (3000) ; d</w:t>
      </w:r>
      <w:r w:rsidR="008778A6" w:rsidRPr="003B3DAB">
        <w:rPr>
          <w:sz w:val="24"/>
          <w:szCs w:val="24"/>
          <w:lang w:val="fr-FR"/>
        </w:rPr>
        <w:t>an</w:t>
      </w:r>
      <w:r w:rsidR="008778A6">
        <w:rPr>
          <w:sz w:val="24"/>
          <w:szCs w:val="24"/>
          <w:lang w:val="fr-FR"/>
        </w:rPr>
        <w:t xml:space="preserve">s le cas des femmes, le chiffre </w:t>
      </w:r>
      <w:r w:rsidR="008778A6" w:rsidRPr="003B3DAB">
        <w:rPr>
          <w:sz w:val="24"/>
          <w:szCs w:val="24"/>
          <w:lang w:val="fr-FR"/>
        </w:rPr>
        <w:t>record a eu lieu plus récemment, en 2014</w:t>
      </w:r>
      <w:r w:rsidR="008778A6" w:rsidRPr="003372EF">
        <w:rPr>
          <w:sz w:val="24"/>
          <w:szCs w:val="24"/>
          <w:lang w:val="fr-FR"/>
        </w:rPr>
        <w:t>,</w:t>
      </w:r>
      <w:r w:rsidR="008778A6" w:rsidRPr="003B3DAB">
        <w:rPr>
          <w:sz w:val="24"/>
          <w:szCs w:val="24"/>
          <w:lang w:val="fr-FR"/>
        </w:rPr>
        <w:t xml:space="preserve"> avec 20</w:t>
      </w:r>
      <w:r w:rsidR="008778A6">
        <w:rPr>
          <w:sz w:val="24"/>
          <w:szCs w:val="24"/>
          <w:lang w:val="fr-FR"/>
        </w:rPr>
        <w:t>36</w:t>
      </w:r>
      <w:r w:rsidR="008778A6" w:rsidRPr="003B3DAB">
        <w:rPr>
          <w:sz w:val="24"/>
          <w:szCs w:val="24"/>
          <w:lang w:val="fr-FR"/>
        </w:rPr>
        <w:t xml:space="preserve"> cas inscrits</w:t>
      </w:r>
      <w:r w:rsidR="008778A6">
        <w:rPr>
          <w:sz w:val="24"/>
          <w:szCs w:val="24"/>
          <w:lang w:val="fr-FR"/>
        </w:rPr>
        <w:t xml:space="preserve">. </w:t>
      </w:r>
      <w:r w:rsidR="008778A6" w:rsidRPr="00805044">
        <w:rPr>
          <w:sz w:val="24"/>
          <w:szCs w:val="24"/>
          <w:lang w:val="fr-FR"/>
        </w:rPr>
        <w:t xml:space="preserve">L'évolution interannuelle a été différente </w:t>
      </w:r>
      <w:r w:rsidR="008778A6" w:rsidRPr="003372EF">
        <w:rPr>
          <w:sz w:val="24"/>
          <w:szCs w:val="24"/>
          <w:lang w:val="fr-FR"/>
        </w:rPr>
        <w:t>pour</w:t>
      </w:r>
      <w:r w:rsidR="008778A6">
        <w:rPr>
          <w:sz w:val="24"/>
          <w:szCs w:val="24"/>
          <w:lang w:val="fr-FR"/>
        </w:rPr>
        <w:t xml:space="preserve"> </w:t>
      </w:r>
      <w:r w:rsidR="008778A6" w:rsidRPr="00805044">
        <w:rPr>
          <w:sz w:val="24"/>
          <w:szCs w:val="24"/>
          <w:lang w:val="fr-FR"/>
        </w:rPr>
        <w:t xml:space="preserve">les deux sexes : dans le mariage entre hommes, nous observons une trajectoire négative à partir de 2007, avec </w:t>
      </w:r>
      <w:r w:rsidR="008778A6">
        <w:rPr>
          <w:sz w:val="24"/>
          <w:szCs w:val="24"/>
          <w:lang w:val="fr-FR"/>
        </w:rPr>
        <w:t xml:space="preserve">un point unique positif en 2012 ; </w:t>
      </w:r>
      <w:r w:rsidR="008778A6" w:rsidRPr="00597BDC">
        <w:rPr>
          <w:sz w:val="24"/>
          <w:szCs w:val="24"/>
          <w:lang w:val="fr-FR"/>
        </w:rPr>
        <w:t>la trajectoire dans le cas des unions</w:t>
      </w:r>
      <w:r w:rsidR="008778A6">
        <w:rPr>
          <w:sz w:val="24"/>
          <w:szCs w:val="24"/>
          <w:lang w:val="fr-FR"/>
        </w:rPr>
        <w:t xml:space="preserve"> </w:t>
      </w:r>
      <w:r w:rsidR="008778A6" w:rsidRPr="00597BDC">
        <w:rPr>
          <w:sz w:val="24"/>
          <w:szCs w:val="24"/>
          <w:lang w:val="fr-FR"/>
        </w:rPr>
        <w:t xml:space="preserve">entre femmes a été moins constante avec </w:t>
      </w:r>
      <w:r w:rsidR="008778A6" w:rsidRPr="003372EF">
        <w:rPr>
          <w:sz w:val="24"/>
          <w:szCs w:val="24"/>
          <w:lang w:val="fr-FR"/>
        </w:rPr>
        <w:t>des</w:t>
      </w:r>
      <w:r w:rsidR="008778A6">
        <w:rPr>
          <w:sz w:val="24"/>
          <w:szCs w:val="24"/>
          <w:lang w:val="fr-FR"/>
        </w:rPr>
        <w:t xml:space="preserve"> </w:t>
      </w:r>
      <w:r w:rsidR="008778A6" w:rsidRPr="00597BDC">
        <w:rPr>
          <w:sz w:val="24"/>
          <w:szCs w:val="24"/>
          <w:lang w:val="fr-FR"/>
        </w:rPr>
        <w:t xml:space="preserve">montées et des baisses </w:t>
      </w:r>
      <w:r w:rsidR="008778A6">
        <w:rPr>
          <w:sz w:val="24"/>
          <w:szCs w:val="24"/>
          <w:lang w:val="fr-FR"/>
        </w:rPr>
        <w:t>pendant</w:t>
      </w:r>
      <w:r w:rsidR="008778A6" w:rsidRPr="00597BDC">
        <w:rPr>
          <w:sz w:val="24"/>
          <w:szCs w:val="24"/>
          <w:lang w:val="fr-FR"/>
        </w:rPr>
        <w:t xml:space="preserve"> cette brève période, bien que les valeurs positives se fassent remarquer entre 201</w:t>
      </w:r>
      <w:r w:rsidR="008778A6">
        <w:rPr>
          <w:sz w:val="24"/>
          <w:szCs w:val="24"/>
          <w:lang w:val="fr-FR"/>
        </w:rPr>
        <w:t>0</w:t>
      </w:r>
      <w:r w:rsidR="008778A6" w:rsidRPr="00597BDC">
        <w:rPr>
          <w:sz w:val="24"/>
          <w:szCs w:val="24"/>
          <w:lang w:val="fr-FR"/>
        </w:rPr>
        <w:t xml:space="preserve"> et 201</w:t>
      </w:r>
      <w:r w:rsidR="008778A6">
        <w:rPr>
          <w:sz w:val="24"/>
          <w:szCs w:val="24"/>
          <w:lang w:val="fr-FR"/>
        </w:rPr>
        <w:t>2</w:t>
      </w:r>
      <w:r w:rsidR="008778A6" w:rsidRPr="00597BDC">
        <w:rPr>
          <w:sz w:val="24"/>
          <w:szCs w:val="24"/>
          <w:lang w:val="fr-FR"/>
        </w:rPr>
        <w:t>.</w:t>
      </w:r>
      <w:r w:rsidR="008778A6">
        <w:rPr>
          <w:sz w:val="24"/>
          <w:szCs w:val="24"/>
          <w:lang w:val="fr-FR"/>
        </w:rPr>
        <w:t xml:space="preserve"> </w:t>
      </w:r>
      <w:r w:rsidR="008778A6" w:rsidRPr="00026213">
        <w:rPr>
          <w:sz w:val="24"/>
          <w:szCs w:val="24"/>
          <w:lang w:val="fr-FR"/>
        </w:rPr>
        <w:t xml:space="preserve">Ces données nous révèlent les plus grandes difficultés que les femmes lesbiennes ont pu avoir </w:t>
      </w:r>
      <w:r w:rsidR="008778A6">
        <w:rPr>
          <w:sz w:val="24"/>
          <w:szCs w:val="24"/>
          <w:lang w:val="fr-FR"/>
        </w:rPr>
        <w:t>pour rendre visible</w:t>
      </w:r>
      <w:r w:rsidR="008778A6" w:rsidRPr="00026213">
        <w:rPr>
          <w:sz w:val="24"/>
          <w:szCs w:val="24"/>
          <w:lang w:val="fr-FR"/>
        </w:rPr>
        <w:t xml:space="preserve"> son orientation sexuelle</w:t>
      </w:r>
      <w:r w:rsidR="008778A6">
        <w:rPr>
          <w:sz w:val="24"/>
          <w:szCs w:val="24"/>
          <w:lang w:val="fr-FR"/>
        </w:rPr>
        <w:t>, notamment dans les espaces ruraux</w:t>
      </w:r>
      <w:r w:rsidR="008778A6" w:rsidRPr="00026213">
        <w:rPr>
          <w:sz w:val="24"/>
          <w:szCs w:val="24"/>
          <w:lang w:val="fr-FR"/>
        </w:rPr>
        <w:t xml:space="preserve"> </w:t>
      </w:r>
      <w:r w:rsidR="008778A6">
        <w:rPr>
          <w:sz w:val="24"/>
          <w:szCs w:val="24"/>
          <w:lang w:val="fr-FR"/>
        </w:rPr>
        <w:t>(</w:t>
      </w:r>
      <w:proofErr w:type="spellStart"/>
      <w:r w:rsidR="008778A6">
        <w:rPr>
          <w:sz w:val="24"/>
          <w:szCs w:val="24"/>
          <w:lang w:val="fr-FR"/>
        </w:rPr>
        <w:t>Goicoechea</w:t>
      </w:r>
      <w:proofErr w:type="spellEnd"/>
      <w:r w:rsidR="008778A6">
        <w:rPr>
          <w:sz w:val="24"/>
          <w:szCs w:val="24"/>
          <w:lang w:val="fr-FR"/>
        </w:rPr>
        <w:t xml:space="preserve"> </w:t>
      </w:r>
      <w:proofErr w:type="spellStart"/>
      <w:r w:rsidR="008778A6">
        <w:rPr>
          <w:sz w:val="24"/>
          <w:szCs w:val="24"/>
          <w:lang w:val="fr-FR"/>
        </w:rPr>
        <w:t>Gaona</w:t>
      </w:r>
      <w:proofErr w:type="spellEnd"/>
      <w:r w:rsidR="008778A6">
        <w:rPr>
          <w:sz w:val="24"/>
          <w:szCs w:val="24"/>
          <w:lang w:val="fr-FR"/>
        </w:rPr>
        <w:t xml:space="preserve">, 2015). Gimeno (2003) parle d’une marginalisation des femmes lesbiennes dans un </w:t>
      </w:r>
      <w:r w:rsidR="008778A6">
        <w:rPr>
          <w:sz w:val="24"/>
          <w:szCs w:val="24"/>
          <w:lang w:val="fr-FR"/>
        </w:rPr>
        <w:lastRenderedPageBreak/>
        <w:t xml:space="preserve">contexte plus large : à l’intérieur de la société gay, la société hétérosexuelle et dans le mouvement féministe. </w:t>
      </w:r>
      <w:r w:rsidR="008778A6" w:rsidRPr="00E01696">
        <w:rPr>
          <w:sz w:val="24"/>
          <w:szCs w:val="24"/>
          <w:lang w:val="fr-FR"/>
        </w:rPr>
        <w:t xml:space="preserve">Cependant, malgré cette </w:t>
      </w:r>
      <w:r w:rsidR="008778A6">
        <w:rPr>
          <w:sz w:val="24"/>
          <w:szCs w:val="24"/>
          <w:lang w:val="fr-FR"/>
        </w:rPr>
        <w:t>« </w:t>
      </w:r>
      <w:r w:rsidR="008778A6" w:rsidRPr="00E01696">
        <w:rPr>
          <w:sz w:val="24"/>
          <w:szCs w:val="24"/>
          <w:lang w:val="fr-FR"/>
        </w:rPr>
        <w:t>marginalisation</w:t>
      </w:r>
      <w:r w:rsidR="008778A6">
        <w:rPr>
          <w:sz w:val="24"/>
          <w:szCs w:val="24"/>
          <w:lang w:val="fr-FR"/>
        </w:rPr>
        <w:t> »</w:t>
      </w:r>
      <w:r w:rsidR="008778A6" w:rsidRPr="00E01696">
        <w:rPr>
          <w:sz w:val="24"/>
          <w:szCs w:val="24"/>
          <w:lang w:val="fr-FR"/>
        </w:rPr>
        <w:t xml:space="preserve">, il faut </w:t>
      </w:r>
      <w:r w:rsidR="008778A6">
        <w:rPr>
          <w:sz w:val="24"/>
          <w:szCs w:val="24"/>
          <w:lang w:val="fr-FR"/>
        </w:rPr>
        <w:t>mettre en relief</w:t>
      </w:r>
      <w:r w:rsidR="008778A6" w:rsidRPr="00E01696">
        <w:rPr>
          <w:sz w:val="24"/>
          <w:szCs w:val="24"/>
          <w:lang w:val="fr-FR"/>
        </w:rPr>
        <w:t>, comme nous avons vu, une évolution clairement positive dans un espace du très court temps.</w:t>
      </w:r>
    </w:p>
    <w:p w:rsidR="00B240C0" w:rsidRDefault="00B240C0" w:rsidP="00B240C0">
      <w:pPr>
        <w:spacing w:line="360" w:lineRule="auto"/>
        <w:jc w:val="both"/>
        <w:rPr>
          <w:sz w:val="24"/>
          <w:szCs w:val="24"/>
          <w:lang w:val="fr-FR"/>
        </w:rPr>
      </w:pPr>
      <w:r w:rsidRPr="005C7EE5">
        <w:rPr>
          <w:b/>
          <w:sz w:val="24"/>
          <w:szCs w:val="24"/>
          <w:lang w:val="fr-FR"/>
        </w:rPr>
        <w:t>Graphique 1.</w:t>
      </w:r>
      <w:r>
        <w:rPr>
          <w:sz w:val="24"/>
          <w:szCs w:val="24"/>
          <w:lang w:val="fr-FR"/>
        </w:rPr>
        <w:t xml:space="preserve"> </w:t>
      </w:r>
      <w:r w:rsidR="005C7EE5">
        <w:rPr>
          <w:sz w:val="24"/>
          <w:szCs w:val="24"/>
          <w:lang w:val="fr-FR"/>
        </w:rPr>
        <w:t>É</w:t>
      </w:r>
      <w:r w:rsidR="005C7EE5" w:rsidRPr="005C7EE5">
        <w:rPr>
          <w:sz w:val="24"/>
          <w:szCs w:val="24"/>
          <w:lang w:val="fr-FR"/>
        </w:rPr>
        <w:t>volution du mariage entre hommes et entre des femmes (pourcentages entre les deux)</w:t>
      </w:r>
    </w:p>
    <w:p w:rsidR="002A1985" w:rsidRDefault="00B240C0" w:rsidP="008A789E">
      <w:pPr>
        <w:spacing w:line="360" w:lineRule="auto"/>
        <w:ind w:firstLine="708"/>
        <w:jc w:val="both"/>
        <w:rPr>
          <w:sz w:val="24"/>
          <w:szCs w:val="24"/>
          <w:lang w:val="fr-FR"/>
        </w:rPr>
      </w:pPr>
      <w:r w:rsidRPr="00B240C0">
        <w:rPr>
          <w:noProof/>
          <w:sz w:val="24"/>
          <w:szCs w:val="24"/>
          <w:lang w:eastAsia="es-ES"/>
        </w:rPr>
        <w:drawing>
          <wp:inline distT="0" distB="0" distL="0" distR="0">
            <wp:extent cx="4572000" cy="2743200"/>
            <wp:effectExtent l="19050" t="0" r="190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64E5B" w:rsidRPr="004563F6" w:rsidRDefault="005C7EE5" w:rsidP="008A789E">
      <w:pPr>
        <w:spacing w:line="360" w:lineRule="auto"/>
        <w:ind w:firstLine="708"/>
        <w:jc w:val="both"/>
        <w:rPr>
          <w:lang w:val="fr-FR"/>
        </w:rPr>
      </w:pPr>
      <w:r w:rsidRPr="004563F6">
        <w:rPr>
          <w:lang w:val="fr-FR"/>
        </w:rPr>
        <w:t>Source : INE, Mouvement Natural de Population</w:t>
      </w:r>
    </w:p>
    <w:p w:rsidR="00A8220F" w:rsidRDefault="00A8220F" w:rsidP="005C7EE5">
      <w:pPr>
        <w:spacing w:line="360" w:lineRule="auto"/>
        <w:jc w:val="both"/>
        <w:rPr>
          <w:b/>
          <w:sz w:val="24"/>
          <w:szCs w:val="24"/>
          <w:lang w:val="fr-FR"/>
        </w:rPr>
      </w:pPr>
    </w:p>
    <w:p w:rsidR="00A81B2D" w:rsidRDefault="00A81B2D" w:rsidP="005C7EE5">
      <w:pPr>
        <w:spacing w:line="360" w:lineRule="auto"/>
        <w:jc w:val="both"/>
        <w:rPr>
          <w:b/>
          <w:sz w:val="24"/>
          <w:szCs w:val="24"/>
          <w:lang w:val="fr-FR"/>
        </w:rPr>
      </w:pPr>
    </w:p>
    <w:p w:rsidR="00A81B2D" w:rsidRDefault="00A81B2D" w:rsidP="005C7EE5">
      <w:pPr>
        <w:spacing w:line="360" w:lineRule="auto"/>
        <w:jc w:val="both"/>
        <w:rPr>
          <w:b/>
          <w:sz w:val="24"/>
          <w:szCs w:val="24"/>
          <w:lang w:val="fr-FR"/>
        </w:rPr>
      </w:pPr>
    </w:p>
    <w:p w:rsidR="00A81B2D" w:rsidRDefault="00A81B2D" w:rsidP="005C7EE5">
      <w:pPr>
        <w:spacing w:line="360" w:lineRule="auto"/>
        <w:jc w:val="both"/>
        <w:rPr>
          <w:b/>
          <w:sz w:val="24"/>
          <w:szCs w:val="24"/>
          <w:lang w:val="fr-FR"/>
        </w:rPr>
      </w:pPr>
    </w:p>
    <w:p w:rsidR="00A81B2D" w:rsidRDefault="00A81B2D" w:rsidP="005C7EE5">
      <w:pPr>
        <w:spacing w:line="360" w:lineRule="auto"/>
        <w:jc w:val="both"/>
        <w:rPr>
          <w:b/>
          <w:sz w:val="24"/>
          <w:szCs w:val="24"/>
          <w:lang w:val="fr-FR"/>
        </w:rPr>
      </w:pPr>
    </w:p>
    <w:p w:rsidR="00A81B2D" w:rsidRDefault="00A81B2D" w:rsidP="005C7EE5">
      <w:pPr>
        <w:spacing w:line="360" w:lineRule="auto"/>
        <w:jc w:val="both"/>
        <w:rPr>
          <w:b/>
          <w:sz w:val="24"/>
          <w:szCs w:val="24"/>
          <w:lang w:val="fr-FR"/>
        </w:rPr>
      </w:pPr>
    </w:p>
    <w:p w:rsidR="00A81B2D" w:rsidRDefault="00A81B2D" w:rsidP="005C7EE5">
      <w:pPr>
        <w:spacing w:line="360" w:lineRule="auto"/>
        <w:jc w:val="both"/>
        <w:rPr>
          <w:b/>
          <w:sz w:val="24"/>
          <w:szCs w:val="24"/>
          <w:lang w:val="fr-FR"/>
        </w:rPr>
      </w:pPr>
    </w:p>
    <w:p w:rsidR="00A81B2D" w:rsidRDefault="00A81B2D" w:rsidP="005C7EE5">
      <w:pPr>
        <w:spacing w:line="360" w:lineRule="auto"/>
        <w:jc w:val="both"/>
        <w:rPr>
          <w:b/>
          <w:sz w:val="24"/>
          <w:szCs w:val="24"/>
          <w:lang w:val="fr-FR"/>
        </w:rPr>
      </w:pPr>
    </w:p>
    <w:p w:rsidR="0037212A" w:rsidRDefault="005C7EE5" w:rsidP="005C7EE5">
      <w:pPr>
        <w:spacing w:line="360" w:lineRule="auto"/>
        <w:jc w:val="both"/>
        <w:rPr>
          <w:sz w:val="24"/>
          <w:szCs w:val="24"/>
          <w:lang w:val="fr-FR"/>
        </w:rPr>
      </w:pPr>
      <w:r w:rsidRPr="004563F6">
        <w:rPr>
          <w:b/>
          <w:sz w:val="24"/>
          <w:szCs w:val="24"/>
          <w:lang w:val="fr-FR"/>
        </w:rPr>
        <w:lastRenderedPageBreak/>
        <w:t>Graphique 2.</w:t>
      </w:r>
      <w:r>
        <w:rPr>
          <w:sz w:val="24"/>
          <w:szCs w:val="24"/>
          <w:lang w:val="fr-FR"/>
        </w:rPr>
        <w:t xml:space="preserve"> </w:t>
      </w:r>
      <w:r w:rsidR="004563F6">
        <w:rPr>
          <w:sz w:val="24"/>
          <w:szCs w:val="24"/>
          <w:lang w:val="fr-FR"/>
        </w:rPr>
        <w:t>Évolution</w:t>
      </w:r>
      <w:r w:rsidR="004563F6" w:rsidRPr="004563F6">
        <w:rPr>
          <w:sz w:val="24"/>
          <w:szCs w:val="24"/>
          <w:lang w:val="fr-FR"/>
        </w:rPr>
        <w:t xml:space="preserve"> du mariage entre hommes, entre des femmes et le total des unions de personnes du même sexe (variation en pourcentage interannuelle)</w:t>
      </w:r>
    </w:p>
    <w:p w:rsidR="005C7EE5" w:rsidRDefault="00750222" w:rsidP="007E3A47">
      <w:pPr>
        <w:spacing w:line="360" w:lineRule="auto"/>
        <w:jc w:val="center"/>
        <w:rPr>
          <w:sz w:val="24"/>
          <w:szCs w:val="24"/>
          <w:lang w:val="fr-FR"/>
        </w:rPr>
      </w:pPr>
      <w:r w:rsidRPr="00750222">
        <w:rPr>
          <w:noProof/>
          <w:sz w:val="24"/>
          <w:szCs w:val="24"/>
          <w:lang w:eastAsia="es-ES"/>
        </w:rPr>
        <w:drawing>
          <wp:inline distT="0" distB="0" distL="0" distR="0">
            <wp:extent cx="4572000" cy="2743200"/>
            <wp:effectExtent l="19050" t="0" r="19050" b="0"/>
            <wp:docPr id="6"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40250" w:rsidRDefault="004563F6" w:rsidP="00750222">
      <w:pPr>
        <w:spacing w:line="360" w:lineRule="auto"/>
        <w:ind w:firstLine="708"/>
        <w:jc w:val="both"/>
        <w:rPr>
          <w:lang w:val="fr-FR"/>
        </w:rPr>
      </w:pPr>
      <w:r w:rsidRPr="004563F6">
        <w:rPr>
          <w:lang w:val="fr-FR"/>
        </w:rPr>
        <w:t>Source : INE, Mouvement Natural de Population</w:t>
      </w:r>
    </w:p>
    <w:p w:rsidR="00750222" w:rsidRDefault="00750222" w:rsidP="00750222">
      <w:pPr>
        <w:spacing w:line="360" w:lineRule="auto"/>
        <w:ind w:firstLine="708"/>
        <w:jc w:val="both"/>
        <w:rPr>
          <w:lang w:val="fr-FR"/>
        </w:rPr>
      </w:pPr>
    </w:p>
    <w:p w:rsidR="008778A6" w:rsidRPr="00115723" w:rsidRDefault="008778A6" w:rsidP="008778A6">
      <w:pPr>
        <w:spacing w:line="360" w:lineRule="auto"/>
        <w:ind w:firstLine="708"/>
        <w:jc w:val="both"/>
        <w:rPr>
          <w:sz w:val="24"/>
          <w:szCs w:val="24"/>
          <w:lang w:val="fr-FR"/>
        </w:rPr>
      </w:pPr>
      <w:r w:rsidRPr="00115723">
        <w:rPr>
          <w:sz w:val="24"/>
          <w:szCs w:val="24"/>
          <w:lang w:val="fr-FR"/>
        </w:rPr>
        <w:t>Comme nous avons</w:t>
      </w:r>
      <w:r>
        <w:rPr>
          <w:sz w:val="24"/>
          <w:szCs w:val="24"/>
          <w:lang w:val="fr-FR"/>
        </w:rPr>
        <w:t xml:space="preserve"> </w:t>
      </w:r>
      <w:r w:rsidRPr="003372EF">
        <w:rPr>
          <w:sz w:val="24"/>
          <w:szCs w:val="24"/>
          <w:lang w:val="fr-FR"/>
        </w:rPr>
        <w:t>précédemment signalé</w:t>
      </w:r>
      <w:r w:rsidRPr="00115723">
        <w:rPr>
          <w:sz w:val="24"/>
          <w:szCs w:val="24"/>
          <w:lang w:val="fr-FR"/>
        </w:rPr>
        <w:t>, la crise économique, initiée e</w:t>
      </w:r>
      <w:r>
        <w:rPr>
          <w:sz w:val="24"/>
          <w:szCs w:val="24"/>
          <w:lang w:val="fr-FR"/>
        </w:rPr>
        <w:t xml:space="preserve">n 2008, a accentué la chute </w:t>
      </w:r>
      <w:r w:rsidRPr="003372EF">
        <w:rPr>
          <w:sz w:val="24"/>
          <w:szCs w:val="24"/>
          <w:lang w:val="fr-FR"/>
        </w:rPr>
        <w:t>de</w:t>
      </w:r>
      <w:r w:rsidRPr="00115723">
        <w:rPr>
          <w:sz w:val="24"/>
          <w:szCs w:val="24"/>
          <w:lang w:val="fr-FR"/>
        </w:rPr>
        <w:t xml:space="preserve"> la nuptialité en Espagne. Or, l'évolution présente différents éléments en fonction des couples homosexuels et hétérosexuels. Entre 2008 et 2011 la descente a été plus grande dans les mariages entre hétérosexuels. Durant cette période, seulement en 2012 il y a eu une légère montée. En ce qui concerne les mariages homosexuels, la plus grande chute s’est produite entre 2006 et 2007, pour commencer à monter d'une manière </w:t>
      </w:r>
      <w:r w:rsidRPr="003372EF">
        <w:rPr>
          <w:sz w:val="24"/>
          <w:szCs w:val="24"/>
          <w:lang w:val="fr-FR"/>
        </w:rPr>
        <w:t>remarquable à partir de 2008</w:t>
      </w:r>
      <w:r>
        <w:rPr>
          <w:sz w:val="24"/>
          <w:szCs w:val="24"/>
          <w:lang w:val="fr-FR"/>
        </w:rPr>
        <w:t xml:space="preserve"> </w:t>
      </w:r>
      <w:r w:rsidRPr="00115723">
        <w:rPr>
          <w:sz w:val="24"/>
          <w:szCs w:val="24"/>
          <w:lang w:val="fr-FR"/>
        </w:rPr>
        <w:t>jusqu'à</w:t>
      </w:r>
      <w:r>
        <w:rPr>
          <w:sz w:val="24"/>
          <w:szCs w:val="24"/>
          <w:lang w:val="fr-FR"/>
        </w:rPr>
        <w:t xml:space="preserve"> 2011. Ici nous avons à tenir </w:t>
      </w:r>
      <w:r w:rsidRPr="00115723">
        <w:rPr>
          <w:sz w:val="24"/>
          <w:szCs w:val="24"/>
          <w:lang w:val="fr-FR"/>
        </w:rPr>
        <w:t xml:space="preserve"> compte de l'augmentation des mariages entre femmes durant cette période. Dans les deux dernières an</w:t>
      </w:r>
      <w:r>
        <w:rPr>
          <w:sz w:val="24"/>
          <w:szCs w:val="24"/>
          <w:lang w:val="fr-FR"/>
        </w:rPr>
        <w:t>nées le rythme de croissance a été</w:t>
      </w:r>
      <w:r w:rsidRPr="00115723">
        <w:rPr>
          <w:sz w:val="24"/>
          <w:szCs w:val="24"/>
          <w:lang w:val="fr-FR"/>
        </w:rPr>
        <w:t xml:space="preserve"> similaire. D’autre part, proportionnellement, entre 2005 et 2013 les séparations ont été </w:t>
      </w:r>
      <w:r w:rsidRPr="003372EF">
        <w:rPr>
          <w:sz w:val="24"/>
          <w:szCs w:val="24"/>
          <w:lang w:val="fr-FR"/>
        </w:rPr>
        <w:t xml:space="preserve">légèrement </w:t>
      </w:r>
      <w:r w:rsidRPr="00115723">
        <w:rPr>
          <w:sz w:val="24"/>
          <w:szCs w:val="24"/>
          <w:lang w:val="fr-FR"/>
        </w:rPr>
        <w:t xml:space="preserve">moins présentes dans les mariages de personnes du même sexe : 6,56 % des unions homosexuelles ont fini dans une rupture, face au 6,6% pour les couples </w:t>
      </w:r>
      <w:r w:rsidRPr="003372EF">
        <w:rPr>
          <w:sz w:val="24"/>
          <w:szCs w:val="24"/>
          <w:lang w:val="fr-FR"/>
        </w:rPr>
        <w:t>hétérosexuels.</w:t>
      </w:r>
      <w:r w:rsidRPr="00115723">
        <w:rPr>
          <w:sz w:val="24"/>
          <w:szCs w:val="24"/>
          <w:lang w:val="fr-FR"/>
        </w:rPr>
        <w:t xml:space="preserve"> Cependant, nous ne devons pas oublier que le nombre de séparations dans les mariages gays a progressivement augmenté dès 2007.</w:t>
      </w:r>
    </w:p>
    <w:p w:rsidR="008778A6" w:rsidRPr="00115723" w:rsidRDefault="008778A6" w:rsidP="008778A6">
      <w:pPr>
        <w:spacing w:line="360" w:lineRule="auto"/>
        <w:ind w:firstLine="708"/>
        <w:jc w:val="both"/>
        <w:rPr>
          <w:sz w:val="24"/>
          <w:szCs w:val="24"/>
          <w:lang w:val="fr-FR"/>
        </w:rPr>
      </w:pPr>
      <w:r w:rsidRPr="00115723">
        <w:rPr>
          <w:sz w:val="24"/>
          <w:szCs w:val="24"/>
          <w:lang w:val="fr-FR"/>
        </w:rPr>
        <w:lastRenderedPageBreak/>
        <w:t>Donc, nous pouvons faire la lecture que durant cette période, bien que le chiffre record de 2006 ne soit pas dépassé et</w:t>
      </w:r>
      <w:r>
        <w:rPr>
          <w:sz w:val="24"/>
          <w:szCs w:val="24"/>
          <w:lang w:val="fr-FR"/>
        </w:rPr>
        <w:t xml:space="preserve"> </w:t>
      </w:r>
      <w:r w:rsidRPr="003372EF">
        <w:rPr>
          <w:sz w:val="24"/>
          <w:szCs w:val="24"/>
          <w:lang w:val="fr-FR"/>
        </w:rPr>
        <w:t xml:space="preserve">malgré </w:t>
      </w:r>
      <w:r w:rsidRPr="00115723">
        <w:rPr>
          <w:sz w:val="24"/>
          <w:szCs w:val="24"/>
          <w:lang w:val="fr-FR"/>
        </w:rPr>
        <w:t xml:space="preserve">l’augmentation du nombre de séparations,  le mariage entre des personnes du même sexe s’est consolidé dans un contexte spécialement difficile pour la société espagnole à cause de la crise économique.  </w:t>
      </w:r>
    </w:p>
    <w:p w:rsidR="00D40250" w:rsidRPr="0056389C" w:rsidRDefault="00750222" w:rsidP="00750222">
      <w:pPr>
        <w:spacing w:line="360" w:lineRule="auto"/>
        <w:jc w:val="both"/>
        <w:rPr>
          <w:lang w:val="fr-FR"/>
        </w:rPr>
      </w:pPr>
      <w:r w:rsidRPr="00750222">
        <w:rPr>
          <w:b/>
          <w:lang w:val="fr-FR"/>
        </w:rPr>
        <w:t>Graphique 3.</w:t>
      </w:r>
      <w:r>
        <w:rPr>
          <w:lang w:val="fr-FR"/>
        </w:rPr>
        <w:t xml:space="preserve"> Évolution du mariage homosexuel et hétérosexuel entre 2006 et 2014 (2006 = 100). </w:t>
      </w:r>
    </w:p>
    <w:p w:rsidR="00D40250" w:rsidRPr="00D40250" w:rsidRDefault="00D40250" w:rsidP="00CD3FCB">
      <w:pPr>
        <w:spacing w:line="360" w:lineRule="auto"/>
        <w:ind w:firstLine="708"/>
        <w:jc w:val="both"/>
        <w:rPr>
          <w:lang w:val="fr-FR"/>
        </w:rPr>
      </w:pPr>
      <w:r w:rsidRPr="00D40250">
        <w:rPr>
          <w:noProof/>
          <w:lang w:eastAsia="es-ES"/>
        </w:rPr>
        <w:drawing>
          <wp:inline distT="0" distB="0" distL="0" distR="0">
            <wp:extent cx="4572000" cy="2743200"/>
            <wp:effectExtent l="19050" t="0" r="19050" b="0"/>
            <wp:docPr id="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50222" w:rsidRDefault="00750222" w:rsidP="00750222">
      <w:pPr>
        <w:spacing w:line="360" w:lineRule="auto"/>
        <w:ind w:firstLine="708"/>
        <w:jc w:val="both"/>
        <w:rPr>
          <w:lang w:val="fr-FR"/>
        </w:rPr>
      </w:pPr>
      <w:r w:rsidRPr="004563F6">
        <w:rPr>
          <w:lang w:val="fr-FR"/>
        </w:rPr>
        <w:t>Source : INE, Mouvement Natur</w:t>
      </w:r>
      <w:r w:rsidR="00A371BD">
        <w:rPr>
          <w:lang w:val="fr-FR"/>
        </w:rPr>
        <w:t>e</w:t>
      </w:r>
      <w:r w:rsidRPr="004563F6">
        <w:rPr>
          <w:lang w:val="fr-FR"/>
        </w:rPr>
        <w:t>l de Population</w:t>
      </w:r>
    </w:p>
    <w:p w:rsidR="003E5CA7" w:rsidRDefault="003E5CA7" w:rsidP="00C872E0">
      <w:pPr>
        <w:spacing w:line="360" w:lineRule="auto"/>
        <w:jc w:val="both"/>
        <w:rPr>
          <w:b/>
          <w:sz w:val="24"/>
          <w:szCs w:val="24"/>
          <w:lang w:val="fr-FR"/>
        </w:rPr>
      </w:pPr>
    </w:p>
    <w:p w:rsidR="003A595A" w:rsidRPr="00A8220F" w:rsidRDefault="00115723" w:rsidP="00A8220F">
      <w:pPr>
        <w:spacing w:line="360" w:lineRule="auto"/>
        <w:jc w:val="both"/>
        <w:rPr>
          <w:b/>
          <w:sz w:val="24"/>
          <w:szCs w:val="24"/>
          <w:lang w:val="fr-FR"/>
        </w:rPr>
      </w:pPr>
      <w:r>
        <w:rPr>
          <w:b/>
          <w:sz w:val="24"/>
          <w:szCs w:val="24"/>
          <w:lang w:val="fr-FR"/>
        </w:rPr>
        <w:t>4</w:t>
      </w:r>
      <w:r w:rsidR="009036FA">
        <w:rPr>
          <w:b/>
          <w:sz w:val="24"/>
          <w:szCs w:val="24"/>
          <w:lang w:val="fr-FR"/>
        </w:rPr>
        <w:t xml:space="preserve">/ </w:t>
      </w:r>
      <w:r w:rsidR="00B30159" w:rsidRPr="00B30159">
        <w:rPr>
          <w:b/>
          <w:sz w:val="24"/>
          <w:szCs w:val="24"/>
          <w:lang w:val="fr-FR"/>
        </w:rPr>
        <w:t>Distribution géographique</w:t>
      </w:r>
      <w:r w:rsidR="00750222">
        <w:rPr>
          <w:b/>
          <w:sz w:val="24"/>
          <w:szCs w:val="24"/>
          <w:lang w:val="fr-FR"/>
        </w:rPr>
        <w:t xml:space="preserve"> du mariage des personnes du même sexe en Espagne</w:t>
      </w:r>
    </w:p>
    <w:p w:rsidR="007F0529" w:rsidRDefault="007F0529" w:rsidP="00CC2B71">
      <w:pPr>
        <w:spacing w:line="360" w:lineRule="auto"/>
        <w:ind w:firstLine="708"/>
        <w:jc w:val="both"/>
        <w:rPr>
          <w:sz w:val="24"/>
          <w:szCs w:val="24"/>
          <w:lang w:val="fr-FR"/>
        </w:rPr>
      </w:pPr>
      <w:r>
        <w:rPr>
          <w:sz w:val="24"/>
          <w:szCs w:val="24"/>
          <w:lang w:val="fr-FR"/>
        </w:rPr>
        <w:t xml:space="preserve">Le mariage </w:t>
      </w:r>
      <w:r w:rsidR="00923A4A">
        <w:rPr>
          <w:sz w:val="24"/>
          <w:szCs w:val="24"/>
          <w:lang w:val="fr-FR"/>
        </w:rPr>
        <w:t xml:space="preserve">homosexuel </w:t>
      </w:r>
      <w:r>
        <w:rPr>
          <w:sz w:val="24"/>
          <w:szCs w:val="24"/>
          <w:lang w:val="fr-FR"/>
        </w:rPr>
        <w:t xml:space="preserve">en Espagne présente une inégale distribution géographique. </w:t>
      </w:r>
      <w:r w:rsidR="00863419">
        <w:rPr>
          <w:sz w:val="24"/>
          <w:szCs w:val="24"/>
          <w:lang w:val="fr-FR"/>
        </w:rPr>
        <w:t>Dans une analyse par communauté</w:t>
      </w:r>
      <w:r w:rsidR="003A595A">
        <w:rPr>
          <w:sz w:val="24"/>
          <w:szCs w:val="24"/>
          <w:lang w:val="fr-FR"/>
        </w:rPr>
        <w:t>s</w:t>
      </w:r>
      <w:r w:rsidR="00863419">
        <w:rPr>
          <w:sz w:val="24"/>
          <w:szCs w:val="24"/>
          <w:lang w:val="fr-FR"/>
        </w:rPr>
        <w:t xml:space="preserve"> autonomes, la somme des régions de la Catalogne et Madrid représentent </w:t>
      </w:r>
      <w:r w:rsidR="00923A4A">
        <w:rPr>
          <w:sz w:val="24"/>
          <w:szCs w:val="24"/>
          <w:lang w:val="fr-FR"/>
        </w:rPr>
        <w:t xml:space="preserve"> </w:t>
      </w:r>
      <w:r w:rsidR="00863419">
        <w:rPr>
          <w:sz w:val="24"/>
          <w:szCs w:val="24"/>
          <w:lang w:val="fr-FR"/>
        </w:rPr>
        <w:t xml:space="preserve">45,2% du moyen calculé pour la période 2006-2014.  Si nous ajoutons l’Andalousie, Valence et les iles Canaries, il s’agit de trois mariages sur quatre. Donc, </w:t>
      </w:r>
      <w:r w:rsidR="003A595A">
        <w:rPr>
          <w:sz w:val="24"/>
          <w:szCs w:val="24"/>
          <w:lang w:val="fr-FR"/>
        </w:rPr>
        <w:t>cinq</w:t>
      </w:r>
      <w:r w:rsidR="00863419" w:rsidRPr="00863419">
        <w:rPr>
          <w:sz w:val="24"/>
          <w:szCs w:val="24"/>
          <w:lang w:val="fr-FR"/>
        </w:rPr>
        <w:t xml:space="preserve"> communautés autonomes englobent 78,2 % des mariages célébrés entre des personnes du même sexe, en </w:t>
      </w:r>
      <w:r w:rsidR="00923A4A">
        <w:rPr>
          <w:sz w:val="24"/>
          <w:szCs w:val="24"/>
          <w:lang w:val="fr-FR"/>
        </w:rPr>
        <w:t>prena</w:t>
      </w:r>
      <w:r w:rsidR="00863419" w:rsidRPr="00863419">
        <w:rPr>
          <w:sz w:val="24"/>
          <w:szCs w:val="24"/>
          <w:lang w:val="fr-FR"/>
        </w:rPr>
        <w:t>nt</w:t>
      </w:r>
      <w:r w:rsidR="00923A4A">
        <w:rPr>
          <w:sz w:val="24"/>
          <w:szCs w:val="24"/>
          <w:lang w:val="fr-FR"/>
        </w:rPr>
        <w:t xml:space="preserve"> compte autant</w:t>
      </w:r>
      <w:r w:rsidR="00863419" w:rsidRPr="00863419">
        <w:rPr>
          <w:sz w:val="24"/>
          <w:szCs w:val="24"/>
          <w:lang w:val="fr-FR"/>
        </w:rPr>
        <w:t xml:space="preserve"> les unions entre des femmes comme entre </w:t>
      </w:r>
      <w:r w:rsidR="00923A4A">
        <w:rPr>
          <w:sz w:val="24"/>
          <w:szCs w:val="24"/>
          <w:lang w:val="fr-FR"/>
        </w:rPr>
        <w:t>d</w:t>
      </w:r>
      <w:r w:rsidR="00863419" w:rsidRPr="00863419">
        <w:rPr>
          <w:sz w:val="24"/>
          <w:szCs w:val="24"/>
          <w:lang w:val="fr-FR"/>
        </w:rPr>
        <w:t>es hommes.</w:t>
      </w:r>
      <w:r w:rsidR="00863419">
        <w:rPr>
          <w:sz w:val="24"/>
          <w:szCs w:val="24"/>
          <w:lang w:val="fr-FR"/>
        </w:rPr>
        <w:t xml:space="preserve"> </w:t>
      </w:r>
      <w:r w:rsidR="00923A4A">
        <w:rPr>
          <w:sz w:val="24"/>
          <w:szCs w:val="24"/>
          <w:lang w:val="fr-FR"/>
        </w:rPr>
        <w:t>À l’exception</w:t>
      </w:r>
      <w:r w:rsidR="0081258D">
        <w:rPr>
          <w:sz w:val="24"/>
          <w:szCs w:val="24"/>
          <w:lang w:val="fr-FR"/>
        </w:rPr>
        <w:t xml:space="preserve"> </w:t>
      </w:r>
      <w:r w:rsidR="00923A4A">
        <w:rPr>
          <w:sz w:val="24"/>
          <w:szCs w:val="24"/>
          <w:lang w:val="fr-FR"/>
        </w:rPr>
        <w:t>des</w:t>
      </w:r>
      <w:r w:rsidR="0081258D">
        <w:rPr>
          <w:sz w:val="24"/>
          <w:szCs w:val="24"/>
          <w:lang w:val="fr-FR"/>
        </w:rPr>
        <w:t xml:space="preserve"> Iles Canaries, </w:t>
      </w:r>
      <w:r w:rsidR="003A595A" w:rsidRPr="003A595A">
        <w:rPr>
          <w:sz w:val="24"/>
          <w:szCs w:val="24"/>
          <w:lang w:val="fr-FR"/>
        </w:rPr>
        <w:t>ce sont quatre des régions plus peuplées de l'Espagne.</w:t>
      </w:r>
      <w:r w:rsidR="003A595A">
        <w:rPr>
          <w:sz w:val="24"/>
          <w:szCs w:val="24"/>
          <w:lang w:val="fr-FR"/>
        </w:rPr>
        <w:t xml:space="preserve"> Dans la même analyse au niveau de provinces, on observe qu’il y a deux qui se font remarquer spécialement : </w:t>
      </w:r>
      <w:r w:rsidR="00923A4A">
        <w:rPr>
          <w:sz w:val="24"/>
          <w:szCs w:val="24"/>
          <w:lang w:val="fr-FR"/>
        </w:rPr>
        <w:lastRenderedPageBreak/>
        <w:t>Madrid et Barcelone, toutes les deux ont un pourcentage similaire et font la somme du 40% du total</w:t>
      </w:r>
      <w:r w:rsidR="003A595A">
        <w:rPr>
          <w:sz w:val="24"/>
          <w:szCs w:val="24"/>
          <w:lang w:val="fr-FR"/>
        </w:rPr>
        <w:t xml:space="preserve"> des mariages pour la période. </w:t>
      </w:r>
      <w:r w:rsidR="001F2902">
        <w:rPr>
          <w:sz w:val="24"/>
          <w:szCs w:val="24"/>
          <w:lang w:val="fr-FR"/>
        </w:rPr>
        <w:t xml:space="preserve">Si nous ajoutons Valence et Alicante, on remonte à plus de la moitié des mariages du même sexe. Donc, on est en train de voir l’incidence </w:t>
      </w:r>
      <w:r w:rsidR="00923A4A">
        <w:rPr>
          <w:sz w:val="24"/>
          <w:szCs w:val="24"/>
          <w:lang w:val="fr-FR"/>
        </w:rPr>
        <w:t xml:space="preserve">notable </w:t>
      </w:r>
      <w:r w:rsidR="001F2902">
        <w:rPr>
          <w:sz w:val="24"/>
          <w:szCs w:val="24"/>
          <w:lang w:val="fr-FR"/>
        </w:rPr>
        <w:t>sur la côte méditerranéenne</w:t>
      </w:r>
      <w:r w:rsidR="00B30159">
        <w:rPr>
          <w:sz w:val="24"/>
          <w:szCs w:val="24"/>
          <w:lang w:val="fr-FR"/>
        </w:rPr>
        <w:t xml:space="preserve"> et comme point central Madrid. </w:t>
      </w:r>
    </w:p>
    <w:p w:rsidR="000732F3" w:rsidRDefault="00B30159" w:rsidP="00B70CCF">
      <w:pPr>
        <w:spacing w:line="360" w:lineRule="auto"/>
        <w:jc w:val="both"/>
        <w:rPr>
          <w:sz w:val="24"/>
          <w:szCs w:val="24"/>
          <w:lang w:val="fr-FR"/>
        </w:rPr>
      </w:pPr>
      <w:r>
        <w:rPr>
          <w:sz w:val="24"/>
          <w:szCs w:val="24"/>
          <w:lang w:val="fr-FR"/>
        </w:rPr>
        <w:tab/>
      </w:r>
      <w:r w:rsidR="00820EBE">
        <w:rPr>
          <w:sz w:val="24"/>
          <w:szCs w:val="24"/>
          <w:lang w:val="fr-FR"/>
        </w:rPr>
        <w:t>L</w:t>
      </w:r>
      <w:r w:rsidR="003504F8">
        <w:rPr>
          <w:sz w:val="24"/>
          <w:szCs w:val="24"/>
          <w:lang w:val="fr-FR"/>
        </w:rPr>
        <w:t>e</w:t>
      </w:r>
      <w:r w:rsidR="00B70CCF" w:rsidRPr="00B70CCF">
        <w:rPr>
          <w:sz w:val="24"/>
          <w:szCs w:val="24"/>
          <w:lang w:val="fr-FR"/>
        </w:rPr>
        <w:t xml:space="preserve"> t</w:t>
      </w:r>
      <w:r w:rsidR="003504F8">
        <w:rPr>
          <w:sz w:val="24"/>
          <w:szCs w:val="24"/>
          <w:lang w:val="fr-FR"/>
        </w:rPr>
        <w:t>aux</w:t>
      </w:r>
      <w:r w:rsidR="00B70CCF" w:rsidRPr="00B70CCF">
        <w:rPr>
          <w:sz w:val="24"/>
          <w:szCs w:val="24"/>
          <w:lang w:val="fr-FR"/>
        </w:rPr>
        <w:t xml:space="preserve"> de mariages homosexuels, qui exprime le nombre de mariages de ce type par chaque mille célébrés dans la période de référence</w:t>
      </w:r>
      <w:r w:rsidR="00B70CCF">
        <w:rPr>
          <w:sz w:val="24"/>
          <w:szCs w:val="24"/>
          <w:lang w:val="fr-FR"/>
        </w:rPr>
        <w:t xml:space="preserve"> (2006-2010)</w:t>
      </w:r>
      <w:r w:rsidR="00B70CCF" w:rsidRPr="00B70CCF">
        <w:rPr>
          <w:sz w:val="24"/>
          <w:szCs w:val="24"/>
          <w:lang w:val="fr-FR"/>
        </w:rPr>
        <w:t xml:space="preserve">, nous fournit une image plus nette de </w:t>
      </w:r>
      <w:r w:rsidR="00CC2B71">
        <w:rPr>
          <w:sz w:val="24"/>
          <w:szCs w:val="24"/>
          <w:lang w:val="fr-FR"/>
        </w:rPr>
        <w:t>l</w:t>
      </w:r>
      <w:r w:rsidR="00B70CCF" w:rsidRPr="00B70CCF">
        <w:rPr>
          <w:sz w:val="24"/>
          <w:szCs w:val="24"/>
          <w:lang w:val="fr-FR"/>
        </w:rPr>
        <w:t>a distribution territoriale.</w:t>
      </w:r>
      <w:r w:rsidR="00820EBE">
        <w:rPr>
          <w:sz w:val="24"/>
          <w:szCs w:val="24"/>
          <w:lang w:val="fr-FR"/>
        </w:rPr>
        <w:t xml:space="preserve"> </w:t>
      </w:r>
      <w:r w:rsidR="00820EBE" w:rsidRPr="00820EBE">
        <w:rPr>
          <w:sz w:val="24"/>
          <w:szCs w:val="24"/>
          <w:lang w:val="fr-FR"/>
        </w:rPr>
        <w:t xml:space="preserve">Les résultats apparaissent représentés dans la carte 1, </w:t>
      </w:r>
      <w:r w:rsidR="00820EBE">
        <w:rPr>
          <w:sz w:val="24"/>
          <w:szCs w:val="24"/>
          <w:lang w:val="fr-FR"/>
        </w:rPr>
        <w:t xml:space="preserve">autant </w:t>
      </w:r>
      <w:r w:rsidR="00820EBE" w:rsidRPr="00820EBE">
        <w:rPr>
          <w:sz w:val="24"/>
          <w:szCs w:val="24"/>
          <w:lang w:val="fr-FR"/>
        </w:rPr>
        <w:t xml:space="preserve">pour les provinces </w:t>
      </w:r>
      <w:r w:rsidR="00820EBE">
        <w:rPr>
          <w:sz w:val="24"/>
          <w:szCs w:val="24"/>
          <w:lang w:val="fr-FR"/>
        </w:rPr>
        <w:t>comme pour</w:t>
      </w:r>
      <w:r w:rsidR="00820EBE" w:rsidRPr="00820EBE">
        <w:rPr>
          <w:sz w:val="24"/>
          <w:szCs w:val="24"/>
          <w:lang w:val="fr-FR"/>
        </w:rPr>
        <w:t xml:space="preserve"> ses </w:t>
      </w:r>
      <w:r w:rsidR="003504F8">
        <w:rPr>
          <w:sz w:val="24"/>
          <w:szCs w:val="24"/>
          <w:lang w:val="fr-FR"/>
        </w:rPr>
        <w:t>capitales</w:t>
      </w:r>
      <w:r w:rsidR="00820EBE" w:rsidRPr="00820EBE">
        <w:rPr>
          <w:sz w:val="24"/>
          <w:szCs w:val="24"/>
          <w:lang w:val="fr-FR"/>
        </w:rPr>
        <w:t>.</w:t>
      </w:r>
      <w:r w:rsidR="004646AB">
        <w:rPr>
          <w:sz w:val="24"/>
          <w:szCs w:val="24"/>
          <w:lang w:val="fr-FR"/>
        </w:rPr>
        <w:t xml:space="preserve"> </w:t>
      </w:r>
      <w:r w:rsidR="003504F8">
        <w:rPr>
          <w:sz w:val="24"/>
          <w:szCs w:val="24"/>
          <w:lang w:val="fr-FR"/>
        </w:rPr>
        <w:t>Au</w:t>
      </w:r>
      <w:r w:rsidR="004646AB" w:rsidRPr="004646AB">
        <w:rPr>
          <w:sz w:val="24"/>
          <w:szCs w:val="24"/>
          <w:lang w:val="fr-FR"/>
        </w:rPr>
        <w:t xml:space="preserve"> niveau provincial, les données confirment la plus grande présence </w:t>
      </w:r>
      <w:r w:rsidR="003504F8">
        <w:rPr>
          <w:sz w:val="24"/>
          <w:szCs w:val="24"/>
          <w:lang w:val="fr-FR"/>
        </w:rPr>
        <w:t>sur le littoral</w:t>
      </w:r>
      <w:r w:rsidR="004646AB">
        <w:rPr>
          <w:sz w:val="24"/>
          <w:szCs w:val="24"/>
          <w:lang w:val="fr-FR"/>
        </w:rPr>
        <w:t xml:space="preserve"> Méditerranée</w:t>
      </w:r>
      <w:r w:rsidR="003504F8">
        <w:rPr>
          <w:sz w:val="24"/>
          <w:szCs w:val="24"/>
          <w:lang w:val="fr-FR"/>
        </w:rPr>
        <w:t>n</w:t>
      </w:r>
      <w:r w:rsidR="004646AB">
        <w:rPr>
          <w:sz w:val="24"/>
          <w:szCs w:val="24"/>
          <w:lang w:val="fr-FR"/>
        </w:rPr>
        <w:t xml:space="preserve"> : Malaga dans l’Andalousie ; Alicante et Valence dans la communauté valencienne ; </w:t>
      </w:r>
      <w:r w:rsidR="00630D74">
        <w:rPr>
          <w:sz w:val="24"/>
          <w:szCs w:val="24"/>
          <w:lang w:val="fr-FR"/>
        </w:rPr>
        <w:t xml:space="preserve">Tarragona, Barcelone et Gironne </w:t>
      </w:r>
      <w:r w:rsidR="003504F8">
        <w:rPr>
          <w:sz w:val="24"/>
          <w:szCs w:val="24"/>
          <w:lang w:val="fr-FR"/>
        </w:rPr>
        <w:t>en</w:t>
      </w:r>
      <w:r w:rsidR="00630D74">
        <w:rPr>
          <w:sz w:val="24"/>
          <w:szCs w:val="24"/>
          <w:lang w:val="fr-FR"/>
        </w:rPr>
        <w:t xml:space="preserve"> Catalogne ; sans oublier les Iles Baléares. </w:t>
      </w:r>
      <w:r w:rsidR="00630D74" w:rsidRPr="00630D74">
        <w:rPr>
          <w:sz w:val="24"/>
          <w:szCs w:val="24"/>
          <w:lang w:val="fr-FR"/>
        </w:rPr>
        <w:t>À l'intérieur du pays seulement Madrid se fait remarquer</w:t>
      </w:r>
      <w:r w:rsidR="00630D74">
        <w:rPr>
          <w:sz w:val="24"/>
          <w:szCs w:val="24"/>
          <w:lang w:val="fr-FR"/>
        </w:rPr>
        <w:t xml:space="preserve">. </w:t>
      </w:r>
      <w:r w:rsidR="00EA09DC">
        <w:rPr>
          <w:sz w:val="24"/>
          <w:szCs w:val="24"/>
          <w:lang w:val="fr-FR"/>
        </w:rPr>
        <w:t>Or</w:t>
      </w:r>
      <w:r w:rsidR="00EA09DC" w:rsidRPr="00EA09DC">
        <w:rPr>
          <w:sz w:val="24"/>
          <w:szCs w:val="24"/>
          <w:lang w:val="fr-FR"/>
        </w:rPr>
        <w:t xml:space="preserve">, </w:t>
      </w:r>
      <w:r w:rsidR="00EA09DC">
        <w:rPr>
          <w:sz w:val="24"/>
          <w:szCs w:val="24"/>
          <w:lang w:val="fr-FR"/>
        </w:rPr>
        <w:t>c’est dans</w:t>
      </w:r>
      <w:r w:rsidR="00EA09DC" w:rsidRPr="00EA09DC">
        <w:rPr>
          <w:sz w:val="24"/>
          <w:szCs w:val="24"/>
          <w:lang w:val="fr-FR"/>
        </w:rPr>
        <w:t xml:space="preserve"> les Îles Canaries où les plus hautes valeurs </w:t>
      </w:r>
      <w:r w:rsidR="00EA09DC">
        <w:rPr>
          <w:sz w:val="24"/>
          <w:szCs w:val="24"/>
          <w:lang w:val="fr-FR"/>
        </w:rPr>
        <w:t>sont localisées, notamment dans les iles de Lanzarote, Fuerteventura et Gran</w:t>
      </w:r>
      <w:r w:rsidR="00D35088">
        <w:rPr>
          <w:sz w:val="24"/>
          <w:szCs w:val="24"/>
          <w:lang w:val="fr-FR"/>
        </w:rPr>
        <w:t>d</w:t>
      </w:r>
      <w:r w:rsidR="00EA09DC">
        <w:rPr>
          <w:sz w:val="24"/>
          <w:szCs w:val="24"/>
          <w:lang w:val="fr-FR"/>
        </w:rPr>
        <w:t xml:space="preserve"> </w:t>
      </w:r>
      <w:r w:rsidR="00D35088">
        <w:rPr>
          <w:sz w:val="24"/>
          <w:szCs w:val="24"/>
          <w:lang w:val="fr-FR"/>
        </w:rPr>
        <w:t>Canaries</w:t>
      </w:r>
      <w:r w:rsidR="00EA09DC">
        <w:rPr>
          <w:sz w:val="24"/>
          <w:szCs w:val="24"/>
          <w:lang w:val="fr-FR"/>
        </w:rPr>
        <w:t xml:space="preserve">. </w:t>
      </w:r>
      <w:r w:rsidR="00700079" w:rsidRPr="00700079">
        <w:rPr>
          <w:sz w:val="24"/>
          <w:szCs w:val="24"/>
          <w:lang w:val="fr-FR"/>
        </w:rPr>
        <w:t xml:space="preserve">Dans une situation intermédiaire nous </w:t>
      </w:r>
      <w:r w:rsidR="0084427C">
        <w:rPr>
          <w:sz w:val="24"/>
          <w:szCs w:val="24"/>
          <w:lang w:val="fr-FR"/>
        </w:rPr>
        <w:t xml:space="preserve">nous </w:t>
      </w:r>
      <w:r w:rsidR="00700079" w:rsidRPr="00700079">
        <w:rPr>
          <w:sz w:val="24"/>
          <w:szCs w:val="24"/>
          <w:lang w:val="fr-FR"/>
        </w:rPr>
        <w:t>trouvons avec quelques provinces dans le nord-ouest de l'</w:t>
      </w:r>
      <w:r w:rsidR="00D35088">
        <w:rPr>
          <w:sz w:val="24"/>
          <w:szCs w:val="24"/>
          <w:lang w:val="fr-FR"/>
        </w:rPr>
        <w:t>Espagne ainsi qu’une</w:t>
      </w:r>
      <w:r w:rsidR="00700079">
        <w:rPr>
          <w:sz w:val="24"/>
          <w:szCs w:val="24"/>
          <w:lang w:val="fr-FR"/>
        </w:rPr>
        <w:t xml:space="preserve"> grande partie de la géographie andalouse. </w:t>
      </w:r>
      <w:r w:rsidR="009115F0">
        <w:rPr>
          <w:sz w:val="24"/>
          <w:szCs w:val="24"/>
          <w:lang w:val="fr-FR"/>
        </w:rPr>
        <w:t>Les ta</w:t>
      </w:r>
      <w:r w:rsidR="0084427C">
        <w:rPr>
          <w:sz w:val="24"/>
          <w:szCs w:val="24"/>
          <w:lang w:val="fr-FR"/>
        </w:rPr>
        <w:t>ux les plus bas</w:t>
      </w:r>
      <w:r w:rsidR="009115F0">
        <w:rPr>
          <w:sz w:val="24"/>
          <w:szCs w:val="24"/>
          <w:lang w:val="fr-FR"/>
        </w:rPr>
        <w:t xml:space="preserve"> se trouvent, donc, dans les provinces intérieures, </w:t>
      </w:r>
      <w:r w:rsidR="00F47670">
        <w:rPr>
          <w:sz w:val="24"/>
          <w:szCs w:val="24"/>
          <w:lang w:val="fr-FR"/>
        </w:rPr>
        <w:t xml:space="preserve">notamment on peut souligner les cas de Zamora, </w:t>
      </w:r>
      <w:proofErr w:type="spellStart"/>
      <w:r w:rsidR="00F47670">
        <w:rPr>
          <w:sz w:val="24"/>
          <w:szCs w:val="24"/>
          <w:lang w:val="fr-FR"/>
        </w:rPr>
        <w:t>Ourense</w:t>
      </w:r>
      <w:proofErr w:type="spellEnd"/>
      <w:r w:rsidR="00F47670">
        <w:rPr>
          <w:sz w:val="24"/>
          <w:szCs w:val="24"/>
          <w:lang w:val="fr-FR"/>
        </w:rPr>
        <w:t xml:space="preserve"> et Soria où le mariage homosexuel est vraiment minoritaire. </w:t>
      </w:r>
    </w:p>
    <w:p w:rsidR="000732F3" w:rsidRDefault="000732F3" w:rsidP="00B70CCF">
      <w:pPr>
        <w:spacing w:line="360" w:lineRule="auto"/>
        <w:jc w:val="both"/>
        <w:rPr>
          <w:sz w:val="24"/>
          <w:szCs w:val="24"/>
          <w:lang w:val="fr-FR"/>
        </w:rPr>
      </w:pPr>
      <w:r w:rsidRPr="000732F3">
        <w:rPr>
          <w:b/>
          <w:sz w:val="24"/>
          <w:szCs w:val="24"/>
          <w:lang w:val="fr-FR"/>
        </w:rPr>
        <w:t>Carte 1.</w:t>
      </w:r>
      <w:r>
        <w:rPr>
          <w:sz w:val="24"/>
          <w:szCs w:val="24"/>
          <w:lang w:val="fr-FR"/>
        </w:rPr>
        <w:t xml:space="preserve"> Taux du mariage homosexuel en Espagne par provinces et capitales (</w:t>
      </w:r>
      <w:r w:rsidRPr="000732F3">
        <w:rPr>
          <w:sz w:val="24"/>
          <w:szCs w:val="24"/>
          <w:lang w:val="fr-FR"/>
        </w:rPr>
        <w:t>moyen annuel 2006-2014</w:t>
      </w:r>
      <w:r>
        <w:rPr>
          <w:sz w:val="24"/>
          <w:szCs w:val="24"/>
          <w:lang w:val="fr-FR"/>
        </w:rPr>
        <w:t>)</w:t>
      </w:r>
    </w:p>
    <w:p w:rsidR="000732F3" w:rsidRDefault="000732F3" w:rsidP="000732F3">
      <w:pPr>
        <w:spacing w:line="360" w:lineRule="auto"/>
        <w:jc w:val="center"/>
        <w:rPr>
          <w:sz w:val="24"/>
          <w:szCs w:val="24"/>
          <w:lang w:val="fr-FR"/>
        </w:rPr>
      </w:pPr>
      <w:r>
        <w:rPr>
          <w:noProof/>
          <w:sz w:val="24"/>
          <w:szCs w:val="24"/>
          <w:lang w:eastAsia="es-ES"/>
        </w:rPr>
        <w:drawing>
          <wp:inline distT="0" distB="0" distL="0" distR="0">
            <wp:extent cx="3477186" cy="2458187"/>
            <wp:effectExtent l="19050" t="0" r="8964"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482176" cy="2461714"/>
                    </a:xfrm>
                    <a:prstGeom prst="rect">
                      <a:avLst/>
                    </a:prstGeom>
                    <a:noFill/>
                    <a:ln w="9525">
                      <a:noFill/>
                      <a:miter lim="800000"/>
                      <a:headEnd/>
                      <a:tailEnd/>
                    </a:ln>
                  </pic:spPr>
                </pic:pic>
              </a:graphicData>
            </a:graphic>
          </wp:inline>
        </w:drawing>
      </w:r>
    </w:p>
    <w:p w:rsidR="000732F3" w:rsidRPr="00D35088" w:rsidRDefault="0019199B" w:rsidP="000732F3">
      <w:pPr>
        <w:spacing w:line="360" w:lineRule="auto"/>
        <w:jc w:val="both"/>
        <w:rPr>
          <w:lang w:val="fr-FR"/>
        </w:rPr>
      </w:pPr>
      <w:r>
        <w:rPr>
          <w:sz w:val="24"/>
          <w:szCs w:val="24"/>
          <w:lang w:val="fr-FR"/>
        </w:rPr>
        <w:tab/>
      </w:r>
      <w:r w:rsidR="00D35088">
        <w:rPr>
          <w:lang w:val="fr-FR"/>
        </w:rPr>
        <w:t>Source : INE, Mouvement Natur</w:t>
      </w:r>
      <w:r w:rsidR="00A371BD">
        <w:rPr>
          <w:lang w:val="fr-FR"/>
        </w:rPr>
        <w:t>e</w:t>
      </w:r>
      <w:r w:rsidR="00D35088">
        <w:rPr>
          <w:lang w:val="fr-FR"/>
        </w:rPr>
        <w:t xml:space="preserve">l de Population </w:t>
      </w:r>
    </w:p>
    <w:p w:rsidR="00D35088" w:rsidRDefault="00D35088" w:rsidP="003C10C0">
      <w:pPr>
        <w:spacing w:line="360" w:lineRule="auto"/>
        <w:ind w:firstLine="708"/>
        <w:jc w:val="both"/>
        <w:rPr>
          <w:sz w:val="24"/>
          <w:szCs w:val="24"/>
          <w:lang w:val="fr-FR"/>
        </w:rPr>
      </w:pPr>
    </w:p>
    <w:p w:rsidR="0006642A" w:rsidRDefault="000732F3" w:rsidP="0006642A">
      <w:pPr>
        <w:spacing w:line="360" w:lineRule="auto"/>
        <w:ind w:firstLine="708"/>
        <w:jc w:val="both"/>
        <w:rPr>
          <w:sz w:val="24"/>
          <w:szCs w:val="24"/>
          <w:lang w:val="fr-FR"/>
        </w:rPr>
      </w:pPr>
      <w:r>
        <w:rPr>
          <w:sz w:val="24"/>
          <w:szCs w:val="24"/>
          <w:lang w:val="fr-FR"/>
        </w:rPr>
        <w:t xml:space="preserve">Selon </w:t>
      </w:r>
      <w:proofErr w:type="spellStart"/>
      <w:r>
        <w:rPr>
          <w:sz w:val="24"/>
          <w:szCs w:val="24"/>
          <w:lang w:val="fr-FR"/>
        </w:rPr>
        <w:t>Paredero</w:t>
      </w:r>
      <w:proofErr w:type="spellEnd"/>
      <w:r>
        <w:rPr>
          <w:sz w:val="24"/>
          <w:szCs w:val="24"/>
          <w:lang w:val="fr-FR"/>
        </w:rPr>
        <w:t xml:space="preserve"> (2013) </w:t>
      </w:r>
      <w:r w:rsidRPr="00D11E86">
        <w:rPr>
          <w:sz w:val="24"/>
          <w:szCs w:val="24"/>
          <w:lang w:val="fr-FR"/>
        </w:rPr>
        <w:t xml:space="preserve">la distribution géographique du mariage homosexuel en Espagne </w:t>
      </w:r>
      <w:r>
        <w:rPr>
          <w:sz w:val="24"/>
          <w:szCs w:val="24"/>
          <w:lang w:val="fr-FR"/>
        </w:rPr>
        <w:t>s’explique par</w:t>
      </w:r>
      <w:r w:rsidRPr="00D11E86">
        <w:rPr>
          <w:sz w:val="24"/>
          <w:szCs w:val="24"/>
          <w:lang w:val="fr-FR"/>
        </w:rPr>
        <w:t xml:space="preserve"> variables comme la densité de population, la taxe de vieillissement et la taxe</w:t>
      </w:r>
      <w:r>
        <w:rPr>
          <w:sz w:val="24"/>
          <w:szCs w:val="24"/>
          <w:lang w:val="fr-FR"/>
        </w:rPr>
        <w:t xml:space="preserve"> d’immigration. </w:t>
      </w:r>
      <w:r w:rsidRPr="00FB5447">
        <w:rPr>
          <w:sz w:val="24"/>
          <w:szCs w:val="24"/>
          <w:lang w:val="fr-FR"/>
        </w:rPr>
        <w:t xml:space="preserve">Les zones avec une basse densité de population et de haut vieillissement sont moins </w:t>
      </w:r>
      <w:r w:rsidR="00691C0D">
        <w:rPr>
          <w:sz w:val="24"/>
          <w:szCs w:val="24"/>
          <w:lang w:val="fr-FR"/>
        </w:rPr>
        <w:t>orientées vers les</w:t>
      </w:r>
      <w:r w:rsidRPr="00FB5447">
        <w:rPr>
          <w:sz w:val="24"/>
          <w:szCs w:val="24"/>
          <w:lang w:val="fr-FR"/>
        </w:rPr>
        <w:t xml:space="preserve"> unions entre personnes du même sexe</w:t>
      </w:r>
      <w:r>
        <w:rPr>
          <w:sz w:val="24"/>
          <w:szCs w:val="24"/>
          <w:lang w:val="fr-FR"/>
        </w:rPr>
        <w:t xml:space="preserve">. </w:t>
      </w:r>
      <w:r w:rsidRPr="000268DE">
        <w:rPr>
          <w:sz w:val="24"/>
          <w:szCs w:val="24"/>
          <w:lang w:val="fr-FR"/>
        </w:rPr>
        <w:t>De fait, la géographie du mariage h</w:t>
      </w:r>
      <w:r>
        <w:rPr>
          <w:sz w:val="24"/>
          <w:szCs w:val="24"/>
          <w:lang w:val="fr-FR"/>
        </w:rPr>
        <w:t xml:space="preserve">omosexuel </w:t>
      </w:r>
      <w:r w:rsidRPr="000268DE">
        <w:rPr>
          <w:sz w:val="24"/>
          <w:szCs w:val="24"/>
          <w:lang w:val="fr-FR"/>
        </w:rPr>
        <w:t>présent</w:t>
      </w:r>
      <w:r w:rsidR="00691C0D">
        <w:rPr>
          <w:sz w:val="24"/>
          <w:szCs w:val="24"/>
          <w:lang w:val="fr-FR"/>
        </w:rPr>
        <w:t>e</w:t>
      </w:r>
      <w:r>
        <w:rPr>
          <w:sz w:val="24"/>
          <w:szCs w:val="24"/>
          <w:lang w:val="fr-FR"/>
        </w:rPr>
        <w:t xml:space="preserve"> </w:t>
      </w:r>
      <w:r w:rsidR="00691C0D">
        <w:rPr>
          <w:sz w:val="24"/>
          <w:szCs w:val="24"/>
          <w:lang w:val="fr-FR"/>
        </w:rPr>
        <w:t xml:space="preserve">un </w:t>
      </w:r>
      <w:r>
        <w:rPr>
          <w:sz w:val="24"/>
          <w:szCs w:val="24"/>
          <w:lang w:val="fr-FR"/>
        </w:rPr>
        <w:t xml:space="preserve">certain parallélisme </w:t>
      </w:r>
      <w:r w:rsidRPr="000268DE">
        <w:rPr>
          <w:sz w:val="24"/>
          <w:szCs w:val="24"/>
          <w:lang w:val="fr-FR"/>
        </w:rPr>
        <w:t>avec la carte de la distribution de la population espagnole :</w:t>
      </w:r>
      <w:r>
        <w:rPr>
          <w:sz w:val="24"/>
          <w:szCs w:val="24"/>
          <w:lang w:val="fr-FR"/>
        </w:rPr>
        <w:t xml:space="preserve"> l</w:t>
      </w:r>
      <w:r w:rsidRPr="00E80D24">
        <w:rPr>
          <w:sz w:val="24"/>
          <w:szCs w:val="24"/>
          <w:lang w:val="fr-FR"/>
        </w:rPr>
        <w:t xml:space="preserve">es plus hautes valeurs </w:t>
      </w:r>
      <w:r>
        <w:rPr>
          <w:sz w:val="24"/>
          <w:szCs w:val="24"/>
          <w:lang w:val="fr-FR"/>
        </w:rPr>
        <w:t>se localisent</w:t>
      </w:r>
      <w:r w:rsidRPr="00E80D24">
        <w:rPr>
          <w:sz w:val="24"/>
          <w:szCs w:val="24"/>
          <w:lang w:val="fr-FR"/>
        </w:rPr>
        <w:t xml:space="preserve"> dans les provinces avec une plus grande densité de population, distribuées</w:t>
      </w:r>
      <w:r w:rsidR="00691C0D">
        <w:rPr>
          <w:sz w:val="24"/>
          <w:szCs w:val="24"/>
          <w:lang w:val="fr-FR"/>
        </w:rPr>
        <w:t xml:space="preserve"> principalement</w:t>
      </w:r>
      <w:r w:rsidRPr="00E80D24">
        <w:rPr>
          <w:sz w:val="24"/>
          <w:szCs w:val="24"/>
          <w:lang w:val="fr-FR"/>
        </w:rPr>
        <w:t xml:space="preserve"> par</w:t>
      </w:r>
      <w:r w:rsidR="00691C0D">
        <w:rPr>
          <w:sz w:val="24"/>
          <w:szCs w:val="24"/>
          <w:lang w:val="fr-FR"/>
        </w:rPr>
        <w:t xml:space="preserve"> </w:t>
      </w:r>
      <w:r w:rsidR="0077686B">
        <w:rPr>
          <w:sz w:val="24"/>
          <w:szCs w:val="24"/>
          <w:lang w:val="fr-FR"/>
        </w:rPr>
        <w:t xml:space="preserve">le </w:t>
      </w:r>
      <w:r w:rsidR="00691C0D">
        <w:rPr>
          <w:sz w:val="24"/>
          <w:szCs w:val="24"/>
          <w:lang w:val="fr-FR"/>
        </w:rPr>
        <w:t xml:space="preserve">littoral méditerranéen et la Communauté de Madrid à l’intérieur.  </w:t>
      </w:r>
      <w:r w:rsidR="0077686B">
        <w:rPr>
          <w:sz w:val="24"/>
          <w:szCs w:val="24"/>
          <w:lang w:val="fr-FR"/>
        </w:rPr>
        <w:t>D’autre part</w:t>
      </w:r>
      <w:r w:rsidR="004D25EF" w:rsidRPr="004D25EF">
        <w:rPr>
          <w:sz w:val="24"/>
          <w:szCs w:val="24"/>
          <w:lang w:val="fr-FR"/>
        </w:rPr>
        <w:t>, 6 de</w:t>
      </w:r>
      <w:r w:rsidR="004D25EF">
        <w:rPr>
          <w:sz w:val="24"/>
          <w:szCs w:val="24"/>
          <w:lang w:val="fr-FR"/>
        </w:rPr>
        <w:t>s</w:t>
      </w:r>
      <w:r w:rsidR="004D25EF" w:rsidRPr="004D25EF">
        <w:rPr>
          <w:sz w:val="24"/>
          <w:szCs w:val="24"/>
          <w:lang w:val="fr-FR"/>
        </w:rPr>
        <w:t xml:space="preserve"> 10 provinces avec </w:t>
      </w:r>
      <w:r w:rsidR="0077686B">
        <w:rPr>
          <w:sz w:val="24"/>
          <w:szCs w:val="24"/>
          <w:lang w:val="fr-FR"/>
        </w:rPr>
        <w:t xml:space="preserve">une taxe de mariage homosexuel plus </w:t>
      </w:r>
      <w:r w:rsidR="0006642A">
        <w:rPr>
          <w:sz w:val="24"/>
          <w:szCs w:val="24"/>
          <w:lang w:val="fr-FR"/>
        </w:rPr>
        <w:t>petite</w:t>
      </w:r>
      <w:r w:rsidR="0077686B">
        <w:rPr>
          <w:sz w:val="24"/>
          <w:szCs w:val="24"/>
          <w:lang w:val="fr-FR"/>
        </w:rPr>
        <w:t xml:space="preserve"> pour la période analysée (2006-2014) se trouvaient entre les 10 premières provinces avec un indice de vieillissement très élevé </w:t>
      </w:r>
      <w:r w:rsidR="00E36AFE">
        <w:rPr>
          <w:sz w:val="24"/>
          <w:szCs w:val="24"/>
          <w:lang w:val="fr-FR"/>
        </w:rPr>
        <w:t xml:space="preserve">(Zamora, Soria, </w:t>
      </w:r>
      <w:proofErr w:type="spellStart"/>
      <w:r w:rsidR="00E36AFE">
        <w:rPr>
          <w:sz w:val="24"/>
          <w:szCs w:val="24"/>
          <w:lang w:val="fr-FR"/>
        </w:rPr>
        <w:t>Ourense</w:t>
      </w:r>
      <w:proofErr w:type="spellEnd"/>
      <w:r w:rsidR="00E36AFE">
        <w:rPr>
          <w:sz w:val="24"/>
          <w:szCs w:val="24"/>
          <w:lang w:val="fr-FR"/>
        </w:rPr>
        <w:t xml:space="preserve">, Teruel, Lugo et Palencia). </w:t>
      </w:r>
      <w:r w:rsidR="003B77EA">
        <w:rPr>
          <w:sz w:val="24"/>
          <w:szCs w:val="24"/>
          <w:lang w:val="fr-FR"/>
        </w:rPr>
        <w:t>À</w:t>
      </w:r>
      <w:r w:rsidR="003B77EA" w:rsidRPr="003B77EA">
        <w:rPr>
          <w:sz w:val="24"/>
          <w:szCs w:val="24"/>
          <w:lang w:val="fr-FR"/>
        </w:rPr>
        <w:t xml:space="preserve"> </w:t>
      </w:r>
      <w:r w:rsidR="003B77EA">
        <w:rPr>
          <w:sz w:val="24"/>
          <w:szCs w:val="24"/>
          <w:lang w:val="fr-FR"/>
        </w:rPr>
        <w:t>l’</w:t>
      </w:r>
      <w:r w:rsidR="003B77EA" w:rsidRPr="003B77EA">
        <w:rPr>
          <w:sz w:val="24"/>
          <w:szCs w:val="24"/>
          <w:lang w:val="fr-FR"/>
        </w:rPr>
        <w:t>inverse, 5 de</w:t>
      </w:r>
      <w:r w:rsidR="0077686B">
        <w:rPr>
          <w:sz w:val="24"/>
          <w:szCs w:val="24"/>
          <w:lang w:val="fr-FR"/>
        </w:rPr>
        <w:t>s</w:t>
      </w:r>
      <w:r w:rsidR="003B77EA" w:rsidRPr="003B77EA">
        <w:rPr>
          <w:sz w:val="24"/>
          <w:szCs w:val="24"/>
          <w:lang w:val="fr-FR"/>
        </w:rPr>
        <w:t xml:space="preserve"> 10 premières provinces avec la plus haute taxe de mariage homosexuel </w:t>
      </w:r>
      <w:r w:rsidR="0077686B">
        <w:rPr>
          <w:sz w:val="24"/>
          <w:szCs w:val="24"/>
          <w:lang w:val="fr-FR"/>
        </w:rPr>
        <w:t>coïncident</w:t>
      </w:r>
      <w:r w:rsidR="003B77EA" w:rsidRPr="003B77EA">
        <w:rPr>
          <w:sz w:val="24"/>
          <w:szCs w:val="24"/>
          <w:lang w:val="fr-FR"/>
        </w:rPr>
        <w:t xml:space="preserve"> avec 5 de</w:t>
      </w:r>
      <w:r w:rsidR="0077686B">
        <w:rPr>
          <w:sz w:val="24"/>
          <w:szCs w:val="24"/>
          <w:lang w:val="fr-FR"/>
        </w:rPr>
        <w:t>s</w:t>
      </w:r>
      <w:r w:rsidR="003B77EA" w:rsidRPr="003B77EA">
        <w:rPr>
          <w:sz w:val="24"/>
          <w:szCs w:val="24"/>
          <w:lang w:val="fr-FR"/>
        </w:rPr>
        <w:t xml:space="preserve"> 10 premières provinces avec un indice </w:t>
      </w:r>
      <w:r w:rsidR="003B77EA">
        <w:rPr>
          <w:sz w:val="24"/>
          <w:szCs w:val="24"/>
          <w:lang w:val="fr-FR"/>
        </w:rPr>
        <w:t>de</w:t>
      </w:r>
      <w:r w:rsidR="003B77EA" w:rsidRPr="003B77EA">
        <w:rPr>
          <w:sz w:val="24"/>
          <w:szCs w:val="24"/>
          <w:lang w:val="fr-FR"/>
        </w:rPr>
        <w:t xml:space="preserve"> vieillissement</w:t>
      </w:r>
      <w:r w:rsidR="003B77EA">
        <w:rPr>
          <w:sz w:val="24"/>
          <w:szCs w:val="24"/>
          <w:lang w:val="fr-FR"/>
        </w:rPr>
        <w:t xml:space="preserve"> plus bas</w:t>
      </w:r>
      <w:r w:rsidR="00E714A4">
        <w:rPr>
          <w:sz w:val="24"/>
          <w:szCs w:val="24"/>
          <w:lang w:val="fr-FR"/>
        </w:rPr>
        <w:t xml:space="preserve"> (</w:t>
      </w:r>
      <w:r w:rsidR="00F95B27">
        <w:rPr>
          <w:sz w:val="24"/>
          <w:szCs w:val="24"/>
          <w:lang w:val="fr-FR"/>
        </w:rPr>
        <w:t xml:space="preserve">Las Palmas, </w:t>
      </w:r>
      <w:proofErr w:type="spellStart"/>
      <w:r w:rsidR="00F95B27">
        <w:rPr>
          <w:sz w:val="24"/>
          <w:szCs w:val="24"/>
          <w:lang w:val="fr-FR"/>
        </w:rPr>
        <w:t>Illes</w:t>
      </w:r>
      <w:proofErr w:type="spellEnd"/>
      <w:r w:rsidR="00F95B27">
        <w:rPr>
          <w:sz w:val="24"/>
          <w:szCs w:val="24"/>
          <w:lang w:val="fr-FR"/>
        </w:rPr>
        <w:t xml:space="preserve"> </w:t>
      </w:r>
      <w:proofErr w:type="spellStart"/>
      <w:r w:rsidR="00F95B27">
        <w:rPr>
          <w:sz w:val="24"/>
          <w:szCs w:val="24"/>
          <w:lang w:val="fr-FR"/>
        </w:rPr>
        <w:t>Balears</w:t>
      </w:r>
      <w:proofErr w:type="spellEnd"/>
      <w:r w:rsidR="00F95B27">
        <w:rPr>
          <w:sz w:val="24"/>
          <w:szCs w:val="24"/>
          <w:lang w:val="fr-FR"/>
        </w:rPr>
        <w:t xml:space="preserve">, Málaga, Madrid et </w:t>
      </w:r>
      <w:proofErr w:type="spellStart"/>
      <w:r w:rsidR="00F95B27">
        <w:rPr>
          <w:sz w:val="24"/>
          <w:szCs w:val="24"/>
          <w:lang w:val="fr-FR"/>
        </w:rPr>
        <w:t>Girona</w:t>
      </w:r>
      <w:proofErr w:type="spellEnd"/>
      <w:r w:rsidR="00F95B27">
        <w:rPr>
          <w:sz w:val="24"/>
          <w:szCs w:val="24"/>
          <w:lang w:val="fr-FR"/>
        </w:rPr>
        <w:t xml:space="preserve">). </w:t>
      </w:r>
    </w:p>
    <w:p w:rsidR="00E77138" w:rsidRPr="003E5CA7" w:rsidRDefault="00436AAF" w:rsidP="00B769DD">
      <w:pPr>
        <w:spacing w:line="360" w:lineRule="auto"/>
        <w:ind w:firstLine="708"/>
        <w:jc w:val="both"/>
        <w:rPr>
          <w:sz w:val="24"/>
          <w:szCs w:val="24"/>
          <w:lang w:val="fr-FR"/>
        </w:rPr>
      </w:pPr>
      <w:r w:rsidRPr="003E5CA7">
        <w:rPr>
          <w:sz w:val="24"/>
          <w:szCs w:val="24"/>
          <w:lang w:val="fr-FR"/>
        </w:rPr>
        <w:t xml:space="preserve">Les provinces de la Méditerranée espagnole se caractérisent aussi pour avoir été lieux de destination pour l'immigration étrangère, tant d’origine extracommunautaire et d'autres pays européens. </w:t>
      </w:r>
      <w:r w:rsidR="007C5C68" w:rsidRPr="003E5CA7">
        <w:rPr>
          <w:sz w:val="24"/>
          <w:szCs w:val="24"/>
          <w:lang w:val="fr-FR"/>
        </w:rPr>
        <w:t xml:space="preserve">Ici il faut tenir compte de la présence importante de citoyens d’autres pays européens. </w:t>
      </w:r>
      <w:r w:rsidR="00F732BC" w:rsidRPr="003E5CA7">
        <w:rPr>
          <w:sz w:val="24"/>
          <w:szCs w:val="24"/>
          <w:lang w:val="fr-FR"/>
        </w:rPr>
        <w:t>Comme nous allons voir plus tard, la présence d'étrangers dans les mariages homosexuels est assez significative. Il se pose la question si nous pouvons parler d’une espèce de phénomène de « tourisme résidentiel homosexuel » qu'il contribue à définir à ces lieux comme espac</w:t>
      </w:r>
      <w:r w:rsidR="00B769DD" w:rsidRPr="003E5CA7">
        <w:rPr>
          <w:sz w:val="24"/>
          <w:szCs w:val="24"/>
          <w:lang w:val="fr-FR"/>
        </w:rPr>
        <w:t>es attractifs pour les familles h</w:t>
      </w:r>
      <w:r w:rsidR="00F732BC" w:rsidRPr="003E5CA7">
        <w:rPr>
          <w:sz w:val="24"/>
          <w:szCs w:val="24"/>
          <w:lang w:val="fr-FR"/>
        </w:rPr>
        <w:t>omosexuelles.</w:t>
      </w:r>
    </w:p>
    <w:p w:rsidR="0019199B" w:rsidRDefault="0019199B" w:rsidP="003C10C0">
      <w:pPr>
        <w:spacing w:line="360" w:lineRule="auto"/>
        <w:ind w:firstLine="708"/>
        <w:jc w:val="both"/>
        <w:rPr>
          <w:sz w:val="24"/>
          <w:szCs w:val="24"/>
          <w:lang w:val="fr-FR"/>
        </w:rPr>
      </w:pPr>
      <w:r>
        <w:rPr>
          <w:sz w:val="24"/>
          <w:szCs w:val="24"/>
          <w:lang w:val="fr-FR"/>
        </w:rPr>
        <w:t xml:space="preserve">En ce qui concerne l’analyse par villes, </w:t>
      </w:r>
      <w:r w:rsidR="00F9557D">
        <w:rPr>
          <w:sz w:val="24"/>
          <w:szCs w:val="24"/>
          <w:lang w:val="fr-FR"/>
        </w:rPr>
        <w:t>les taux les plus élevées</w:t>
      </w:r>
      <w:r w:rsidR="00F47670">
        <w:rPr>
          <w:sz w:val="24"/>
          <w:szCs w:val="24"/>
          <w:lang w:val="fr-FR"/>
        </w:rPr>
        <w:t xml:space="preserve"> (au dessus du 4%)</w:t>
      </w:r>
      <w:r w:rsidR="00F9557D">
        <w:rPr>
          <w:sz w:val="24"/>
          <w:szCs w:val="24"/>
          <w:lang w:val="fr-FR"/>
        </w:rPr>
        <w:t xml:space="preserve"> se trouvent dans deux villes de la péninsule, </w:t>
      </w:r>
      <w:r w:rsidR="00304D37">
        <w:rPr>
          <w:sz w:val="24"/>
          <w:szCs w:val="24"/>
          <w:lang w:val="fr-FR"/>
        </w:rPr>
        <w:t>Valence et, notamment Barcelone</w:t>
      </w:r>
      <w:r w:rsidR="00F9557D">
        <w:rPr>
          <w:sz w:val="24"/>
          <w:szCs w:val="24"/>
          <w:lang w:val="fr-FR"/>
        </w:rPr>
        <w:t xml:space="preserve">, </w:t>
      </w:r>
      <w:r w:rsidR="00304D37">
        <w:rPr>
          <w:sz w:val="24"/>
          <w:szCs w:val="24"/>
          <w:lang w:val="fr-FR"/>
        </w:rPr>
        <w:t>ainsi que</w:t>
      </w:r>
      <w:r w:rsidR="00F9557D">
        <w:rPr>
          <w:sz w:val="24"/>
          <w:szCs w:val="24"/>
          <w:lang w:val="fr-FR"/>
        </w:rPr>
        <w:t xml:space="preserve"> dans deux villes des Iles Canaries, Las Palmas de </w:t>
      </w:r>
      <w:proofErr w:type="spellStart"/>
      <w:r w:rsidR="00F9557D">
        <w:rPr>
          <w:sz w:val="24"/>
          <w:szCs w:val="24"/>
          <w:lang w:val="fr-FR"/>
        </w:rPr>
        <w:t>Gran</w:t>
      </w:r>
      <w:proofErr w:type="spellEnd"/>
      <w:r w:rsidR="00F9557D">
        <w:rPr>
          <w:sz w:val="24"/>
          <w:szCs w:val="24"/>
          <w:lang w:val="fr-FR"/>
        </w:rPr>
        <w:t xml:space="preserve"> </w:t>
      </w:r>
      <w:proofErr w:type="spellStart"/>
      <w:r w:rsidR="00F9557D">
        <w:rPr>
          <w:sz w:val="24"/>
          <w:szCs w:val="24"/>
          <w:lang w:val="fr-FR"/>
        </w:rPr>
        <w:t>Canaria</w:t>
      </w:r>
      <w:r w:rsidR="003D7AD3">
        <w:rPr>
          <w:sz w:val="24"/>
          <w:szCs w:val="24"/>
          <w:lang w:val="fr-FR"/>
        </w:rPr>
        <w:t>s</w:t>
      </w:r>
      <w:proofErr w:type="spellEnd"/>
      <w:r w:rsidR="00F9557D">
        <w:rPr>
          <w:sz w:val="24"/>
          <w:szCs w:val="24"/>
          <w:lang w:val="fr-FR"/>
        </w:rPr>
        <w:t xml:space="preserve"> et Santa Cruz de Tenerife.  </w:t>
      </w:r>
      <w:r w:rsidR="003D7AD3" w:rsidRPr="003D7AD3">
        <w:rPr>
          <w:sz w:val="24"/>
          <w:szCs w:val="24"/>
          <w:lang w:val="fr-FR"/>
        </w:rPr>
        <w:t xml:space="preserve">Avec </w:t>
      </w:r>
      <w:r w:rsidR="00F47670">
        <w:rPr>
          <w:sz w:val="24"/>
          <w:szCs w:val="24"/>
          <w:lang w:val="fr-FR"/>
        </w:rPr>
        <w:t>les</w:t>
      </w:r>
      <w:r w:rsidR="003D7AD3" w:rsidRPr="003D7AD3">
        <w:rPr>
          <w:sz w:val="24"/>
          <w:szCs w:val="24"/>
          <w:lang w:val="fr-FR"/>
        </w:rPr>
        <w:t xml:space="preserve"> valeurs proches </w:t>
      </w:r>
      <w:r w:rsidR="00F47670">
        <w:rPr>
          <w:sz w:val="24"/>
          <w:szCs w:val="24"/>
          <w:lang w:val="fr-FR"/>
        </w:rPr>
        <w:t>de 4%</w:t>
      </w:r>
      <w:r w:rsidR="003D7AD3" w:rsidRPr="003D7AD3">
        <w:rPr>
          <w:sz w:val="24"/>
          <w:szCs w:val="24"/>
          <w:lang w:val="fr-FR"/>
        </w:rPr>
        <w:t xml:space="preserve"> nous trouvons aussi à la capitale de l'Espagne et Alicante.</w:t>
      </w:r>
      <w:r w:rsidR="00A01EE1">
        <w:rPr>
          <w:sz w:val="24"/>
          <w:szCs w:val="24"/>
          <w:lang w:val="fr-FR"/>
        </w:rPr>
        <w:t xml:space="preserve"> Donc</w:t>
      </w:r>
      <w:r w:rsidR="00A01EE1" w:rsidRPr="00A01EE1">
        <w:rPr>
          <w:sz w:val="24"/>
          <w:szCs w:val="24"/>
          <w:lang w:val="fr-FR"/>
        </w:rPr>
        <w:t xml:space="preserve">, nous confirmons que la présence du mariage homosexuel est spécialement éminente dans certains des villes côtières </w:t>
      </w:r>
      <w:r w:rsidR="00F47670">
        <w:rPr>
          <w:sz w:val="24"/>
          <w:szCs w:val="24"/>
          <w:lang w:val="fr-FR"/>
        </w:rPr>
        <w:t>de la Méditerranée et des Iles Canaries</w:t>
      </w:r>
      <w:r w:rsidR="00A01EE1" w:rsidRPr="00A01EE1">
        <w:rPr>
          <w:sz w:val="24"/>
          <w:szCs w:val="24"/>
          <w:lang w:val="fr-FR"/>
        </w:rPr>
        <w:t>, avec l'exception de Madrid.</w:t>
      </w:r>
      <w:r w:rsidR="002E46FB">
        <w:rPr>
          <w:sz w:val="24"/>
          <w:szCs w:val="24"/>
          <w:lang w:val="fr-FR"/>
        </w:rPr>
        <w:t xml:space="preserve"> </w:t>
      </w:r>
      <w:r w:rsidR="002E46FB" w:rsidRPr="002E46FB">
        <w:rPr>
          <w:sz w:val="24"/>
          <w:szCs w:val="24"/>
          <w:lang w:val="fr-FR"/>
        </w:rPr>
        <w:t xml:space="preserve">L'impact a été beaucoup moindre, en </w:t>
      </w:r>
      <w:r w:rsidR="002E46FB" w:rsidRPr="002E46FB">
        <w:rPr>
          <w:sz w:val="24"/>
          <w:szCs w:val="24"/>
          <w:lang w:val="fr-FR"/>
        </w:rPr>
        <w:lastRenderedPageBreak/>
        <w:t>général, dans les villes côtières de nord-ouest et, princi</w:t>
      </w:r>
      <w:r w:rsidR="00F47670">
        <w:rPr>
          <w:sz w:val="24"/>
          <w:szCs w:val="24"/>
          <w:lang w:val="fr-FR"/>
        </w:rPr>
        <w:t>palement, les espaces urbains de l’</w:t>
      </w:r>
      <w:r w:rsidR="002E46FB" w:rsidRPr="002E46FB">
        <w:rPr>
          <w:sz w:val="24"/>
          <w:szCs w:val="24"/>
          <w:lang w:val="fr-FR"/>
        </w:rPr>
        <w:t>intérieur.</w:t>
      </w:r>
    </w:p>
    <w:p w:rsidR="00153A50" w:rsidRDefault="00027DEA" w:rsidP="003C10C0">
      <w:pPr>
        <w:spacing w:line="360" w:lineRule="auto"/>
        <w:ind w:firstLine="708"/>
        <w:jc w:val="both"/>
        <w:rPr>
          <w:sz w:val="24"/>
          <w:szCs w:val="24"/>
          <w:lang w:val="fr-FR"/>
        </w:rPr>
      </w:pPr>
      <w:r>
        <w:rPr>
          <w:sz w:val="24"/>
          <w:szCs w:val="24"/>
          <w:lang w:val="fr-FR"/>
        </w:rPr>
        <w:t>Le mariage homosexuel présente une distribution géographique inégale en fonction du sexe des conjoints. N</w:t>
      </w:r>
      <w:r w:rsidRPr="00027DEA">
        <w:rPr>
          <w:sz w:val="24"/>
          <w:szCs w:val="24"/>
          <w:lang w:val="fr-FR"/>
        </w:rPr>
        <w:t xml:space="preserve">ous pouvons distinguer des provinces dans </w:t>
      </w:r>
      <w:r>
        <w:rPr>
          <w:sz w:val="24"/>
          <w:szCs w:val="24"/>
          <w:lang w:val="fr-FR"/>
        </w:rPr>
        <w:t>lesquelles</w:t>
      </w:r>
      <w:r w:rsidR="00D54E90">
        <w:rPr>
          <w:sz w:val="24"/>
          <w:szCs w:val="24"/>
          <w:lang w:val="fr-FR"/>
        </w:rPr>
        <w:t xml:space="preserve"> prédomine</w:t>
      </w:r>
      <w:r w:rsidRPr="00027DEA">
        <w:rPr>
          <w:sz w:val="24"/>
          <w:szCs w:val="24"/>
          <w:lang w:val="fr-FR"/>
        </w:rPr>
        <w:t xml:space="preserve"> </w:t>
      </w:r>
      <w:r>
        <w:rPr>
          <w:sz w:val="24"/>
          <w:szCs w:val="24"/>
          <w:lang w:val="fr-FR"/>
        </w:rPr>
        <w:t>le</w:t>
      </w:r>
      <w:r w:rsidRPr="00027DEA">
        <w:rPr>
          <w:sz w:val="24"/>
          <w:szCs w:val="24"/>
          <w:lang w:val="fr-FR"/>
        </w:rPr>
        <w:t xml:space="preserve"> mariage entre hommes, autres avec une distribution plus équitable et </w:t>
      </w:r>
      <w:r>
        <w:rPr>
          <w:sz w:val="24"/>
          <w:szCs w:val="24"/>
          <w:lang w:val="fr-FR"/>
        </w:rPr>
        <w:t>un troisième group</w:t>
      </w:r>
      <w:r w:rsidR="00D54E90">
        <w:rPr>
          <w:sz w:val="24"/>
          <w:szCs w:val="24"/>
          <w:lang w:val="fr-FR"/>
        </w:rPr>
        <w:t>e</w:t>
      </w:r>
      <w:r w:rsidR="00B14EC6">
        <w:rPr>
          <w:sz w:val="24"/>
          <w:szCs w:val="24"/>
          <w:lang w:val="fr-FR"/>
        </w:rPr>
        <w:t xml:space="preserve"> </w:t>
      </w:r>
      <w:r w:rsidRPr="00027DEA">
        <w:rPr>
          <w:sz w:val="24"/>
          <w:szCs w:val="24"/>
          <w:lang w:val="fr-FR"/>
        </w:rPr>
        <w:t xml:space="preserve">dans </w:t>
      </w:r>
      <w:r>
        <w:rPr>
          <w:sz w:val="24"/>
          <w:szCs w:val="24"/>
          <w:lang w:val="fr-FR"/>
        </w:rPr>
        <w:t>lequel</w:t>
      </w:r>
      <w:r w:rsidRPr="00027DEA">
        <w:rPr>
          <w:sz w:val="24"/>
          <w:szCs w:val="24"/>
          <w:lang w:val="fr-FR"/>
        </w:rPr>
        <w:t xml:space="preserve"> </w:t>
      </w:r>
      <w:r>
        <w:rPr>
          <w:sz w:val="24"/>
          <w:szCs w:val="24"/>
          <w:lang w:val="fr-FR"/>
        </w:rPr>
        <w:t>les unions entre</w:t>
      </w:r>
      <w:r w:rsidRPr="00027DEA">
        <w:rPr>
          <w:sz w:val="24"/>
          <w:szCs w:val="24"/>
          <w:lang w:val="fr-FR"/>
        </w:rPr>
        <w:t xml:space="preserve"> femmes sont légèrement majoritaires.</w:t>
      </w:r>
      <w:r w:rsidR="00C620CB">
        <w:rPr>
          <w:sz w:val="24"/>
          <w:szCs w:val="24"/>
          <w:lang w:val="fr-FR"/>
        </w:rPr>
        <w:t xml:space="preserve"> </w:t>
      </w:r>
      <w:r w:rsidR="00C620CB" w:rsidRPr="00C620CB">
        <w:rPr>
          <w:sz w:val="24"/>
          <w:szCs w:val="24"/>
          <w:lang w:val="fr-FR"/>
        </w:rPr>
        <w:t>Il est difficile de faire une lecture de</w:t>
      </w:r>
      <w:r w:rsidR="00C620CB">
        <w:rPr>
          <w:sz w:val="24"/>
          <w:szCs w:val="24"/>
          <w:lang w:val="fr-FR"/>
        </w:rPr>
        <w:t xml:space="preserve"> cette classification parce que dans chaque groupe il y a des provinces très différentes. </w:t>
      </w:r>
      <w:r w:rsidR="00C620CB" w:rsidRPr="00C620CB">
        <w:rPr>
          <w:sz w:val="24"/>
          <w:szCs w:val="24"/>
          <w:lang w:val="fr-FR"/>
        </w:rPr>
        <w:t xml:space="preserve">Cependant, il y a quelques observations qui attirent </w:t>
      </w:r>
      <w:r w:rsidR="00C620CB">
        <w:rPr>
          <w:sz w:val="24"/>
          <w:szCs w:val="24"/>
          <w:lang w:val="fr-FR"/>
        </w:rPr>
        <w:t>l’</w:t>
      </w:r>
      <w:r w:rsidR="00C620CB" w:rsidRPr="00C620CB">
        <w:rPr>
          <w:sz w:val="24"/>
          <w:szCs w:val="24"/>
          <w:lang w:val="fr-FR"/>
        </w:rPr>
        <w:t>attention.</w:t>
      </w:r>
      <w:r w:rsidR="00C620CB">
        <w:rPr>
          <w:sz w:val="24"/>
          <w:szCs w:val="24"/>
          <w:lang w:val="fr-FR"/>
        </w:rPr>
        <w:t xml:space="preserve"> </w:t>
      </w:r>
      <w:r w:rsidR="00C620CB" w:rsidRPr="00C620CB">
        <w:rPr>
          <w:sz w:val="24"/>
          <w:szCs w:val="24"/>
          <w:lang w:val="fr-FR"/>
        </w:rPr>
        <w:t>Dans le premier groupe (des provinces avec un haut pourcentage de</w:t>
      </w:r>
      <w:r w:rsidR="0069038A">
        <w:rPr>
          <w:sz w:val="24"/>
          <w:szCs w:val="24"/>
          <w:lang w:val="fr-FR"/>
        </w:rPr>
        <w:t>s</w:t>
      </w:r>
      <w:r w:rsidR="00C620CB" w:rsidRPr="00C620CB">
        <w:rPr>
          <w:sz w:val="24"/>
          <w:szCs w:val="24"/>
          <w:lang w:val="fr-FR"/>
        </w:rPr>
        <w:t xml:space="preserve"> mariages entre hommes),</w:t>
      </w:r>
      <w:r w:rsidR="00C620CB">
        <w:rPr>
          <w:sz w:val="24"/>
          <w:szCs w:val="24"/>
          <w:lang w:val="fr-FR"/>
        </w:rPr>
        <w:t xml:space="preserve">  nous trouvons</w:t>
      </w:r>
      <w:r w:rsidR="00C620CB" w:rsidRPr="00C620CB">
        <w:rPr>
          <w:sz w:val="24"/>
          <w:szCs w:val="24"/>
          <w:lang w:val="fr-FR"/>
        </w:rPr>
        <w:t xml:space="preserve"> certain</w:t>
      </w:r>
      <w:r w:rsidR="0069038A">
        <w:rPr>
          <w:sz w:val="24"/>
          <w:szCs w:val="24"/>
          <w:lang w:val="fr-FR"/>
        </w:rPr>
        <w:t>e</w:t>
      </w:r>
      <w:r w:rsidR="00C620CB" w:rsidRPr="00C620CB">
        <w:rPr>
          <w:sz w:val="24"/>
          <w:szCs w:val="24"/>
          <w:lang w:val="fr-FR"/>
        </w:rPr>
        <w:t>s des z</w:t>
      </w:r>
      <w:r w:rsidR="00C620CB">
        <w:rPr>
          <w:sz w:val="24"/>
          <w:szCs w:val="24"/>
          <w:lang w:val="fr-FR"/>
        </w:rPr>
        <w:t>ones de la Méditerranée avec un</w:t>
      </w:r>
      <w:r w:rsidR="0069038A">
        <w:rPr>
          <w:sz w:val="24"/>
          <w:szCs w:val="24"/>
          <w:lang w:val="fr-FR"/>
        </w:rPr>
        <w:t xml:space="preserve"> </w:t>
      </w:r>
      <w:r w:rsidR="00C620CB">
        <w:rPr>
          <w:sz w:val="24"/>
          <w:szCs w:val="24"/>
          <w:lang w:val="fr-FR"/>
        </w:rPr>
        <w:t>taux</w:t>
      </w:r>
      <w:r w:rsidR="00DF028F">
        <w:rPr>
          <w:sz w:val="24"/>
          <w:szCs w:val="24"/>
          <w:lang w:val="fr-FR"/>
        </w:rPr>
        <w:t xml:space="preserve"> élevé</w:t>
      </w:r>
      <w:r w:rsidR="00C620CB">
        <w:rPr>
          <w:sz w:val="24"/>
          <w:szCs w:val="24"/>
          <w:lang w:val="fr-FR"/>
        </w:rPr>
        <w:t xml:space="preserve"> de mariage homosexuel  (Barcelone, </w:t>
      </w:r>
      <w:proofErr w:type="spellStart"/>
      <w:r w:rsidR="00C620CB">
        <w:rPr>
          <w:sz w:val="24"/>
          <w:szCs w:val="24"/>
          <w:lang w:val="fr-FR"/>
        </w:rPr>
        <w:t>Illes</w:t>
      </w:r>
      <w:proofErr w:type="spellEnd"/>
      <w:r w:rsidR="00C620CB">
        <w:rPr>
          <w:sz w:val="24"/>
          <w:szCs w:val="24"/>
          <w:lang w:val="fr-FR"/>
        </w:rPr>
        <w:t xml:space="preserve"> </w:t>
      </w:r>
      <w:proofErr w:type="spellStart"/>
      <w:r w:rsidR="00C620CB">
        <w:rPr>
          <w:sz w:val="24"/>
          <w:szCs w:val="24"/>
          <w:lang w:val="fr-FR"/>
        </w:rPr>
        <w:t>Balears</w:t>
      </w:r>
      <w:proofErr w:type="spellEnd"/>
      <w:r w:rsidR="00C620CB">
        <w:rPr>
          <w:sz w:val="24"/>
          <w:szCs w:val="24"/>
          <w:lang w:val="fr-FR"/>
        </w:rPr>
        <w:t xml:space="preserve"> ou Alicante), ainsi que Madrid, avec autres dans lesquelles les valeurs sont très modestes (Zamora, Soria ou Valladolid). </w:t>
      </w:r>
      <w:r w:rsidR="005A0930">
        <w:rPr>
          <w:sz w:val="24"/>
          <w:szCs w:val="24"/>
          <w:lang w:val="fr-FR"/>
        </w:rPr>
        <w:t>Dans ce sens, dans les 4 villes espagnoles de la péninsule les pourcentages des mariages entre hommes en rapport aux ceux des femmes sont spécialement élevés : Madrid (72%), Barcelone (71%), Valence (66%) et Alicant</w:t>
      </w:r>
      <w:r w:rsidR="00D4591D">
        <w:rPr>
          <w:sz w:val="24"/>
          <w:szCs w:val="24"/>
          <w:lang w:val="fr-FR"/>
        </w:rPr>
        <w:t>e</w:t>
      </w:r>
      <w:r w:rsidR="005A0930">
        <w:rPr>
          <w:sz w:val="24"/>
          <w:szCs w:val="24"/>
          <w:lang w:val="fr-FR"/>
        </w:rPr>
        <w:t xml:space="preserve"> (64%). Le</w:t>
      </w:r>
      <w:r w:rsidR="005A0930" w:rsidRPr="005A0930">
        <w:rPr>
          <w:sz w:val="24"/>
          <w:szCs w:val="24"/>
          <w:lang w:val="fr-FR"/>
        </w:rPr>
        <w:t xml:space="preserve"> deuxième groupe (</w:t>
      </w:r>
      <w:r w:rsidR="005A0930">
        <w:rPr>
          <w:sz w:val="24"/>
          <w:szCs w:val="24"/>
          <w:lang w:val="fr-FR"/>
        </w:rPr>
        <w:t>avec</w:t>
      </w:r>
      <w:r w:rsidR="005A0930" w:rsidRPr="005A0930">
        <w:rPr>
          <w:sz w:val="24"/>
          <w:szCs w:val="24"/>
          <w:lang w:val="fr-FR"/>
        </w:rPr>
        <w:t xml:space="preserve"> pourcentages plus ou moins équitables entre les deux sexes) est majoritairement composé par </w:t>
      </w:r>
      <w:r w:rsidR="005A0930">
        <w:rPr>
          <w:sz w:val="24"/>
          <w:szCs w:val="24"/>
          <w:lang w:val="fr-FR"/>
        </w:rPr>
        <w:t>des</w:t>
      </w:r>
      <w:r w:rsidR="005A0930" w:rsidRPr="005A0930">
        <w:rPr>
          <w:sz w:val="24"/>
          <w:szCs w:val="24"/>
          <w:lang w:val="fr-FR"/>
        </w:rPr>
        <w:t xml:space="preserve"> provinces situées à l'intérieur de l'Espagne dans lesquelles le mariage homosexuel est peu </w:t>
      </w:r>
      <w:r w:rsidR="00087D2D">
        <w:rPr>
          <w:sz w:val="24"/>
          <w:szCs w:val="24"/>
          <w:lang w:val="fr-FR"/>
        </w:rPr>
        <w:t xml:space="preserve">nombreux (par exemple, Cuenca, Albacete et Teruel). </w:t>
      </w:r>
      <w:r w:rsidR="00153A50">
        <w:rPr>
          <w:sz w:val="24"/>
          <w:szCs w:val="24"/>
          <w:lang w:val="fr-FR"/>
        </w:rPr>
        <w:t>Le t</w:t>
      </w:r>
      <w:r w:rsidR="00153A50" w:rsidRPr="00153A50">
        <w:rPr>
          <w:sz w:val="24"/>
          <w:szCs w:val="24"/>
          <w:lang w:val="fr-FR"/>
        </w:rPr>
        <w:t xml:space="preserve">roisième groupe (où les pourcentages d'unions entre des femmes sont au-dessus de 50 %) est très minoritaire et </w:t>
      </w:r>
      <w:r w:rsidR="00153A50">
        <w:rPr>
          <w:sz w:val="24"/>
          <w:szCs w:val="24"/>
          <w:lang w:val="fr-FR"/>
        </w:rPr>
        <w:t xml:space="preserve">il est composé aussi par des provinces de l’intérieur. </w:t>
      </w:r>
    </w:p>
    <w:p w:rsidR="00A371BD" w:rsidRDefault="00A371BD" w:rsidP="00153A50">
      <w:pPr>
        <w:spacing w:line="360" w:lineRule="auto"/>
        <w:jc w:val="both"/>
        <w:rPr>
          <w:b/>
          <w:sz w:val="24"/>
          <w:szCs w:val="24"/>
          <w:lang w:val="fr-FR"/>
        </w:rPr>
      </w:pPr>
    </w:p>
    <w:p w:rsidR="00A371BD" w:rsidRDefault="00A371BD" w:rsidP="00153A50">
      <w:pPr>
        <w:spacing w:line="360" w:lineRule="auto"/>
        <w:jc w:val="both"/>
        <w:rPr>
          <w:b/>
          <w:sz w:val="24"/>
          <w:szCs w:val="24"/>
          <w:lang w:val="fr-FR"/>
        </w:rPr>
      </w:pPr>
    </w:p>
    <w:p w:rsidR="00A371BD" w:rsidRDefault="00A371BD" w:rsidP="00153A50">
      <w:pPr>
        <w:spacing w:line="360" w:lineRule="auto"/>
        <w:jc w:val="both"/>
        <w:rPr>
          <w:b/>
          <w:sz w:val="24"/>
          <w:szCs w:val="24"/>
          <w:lang w:val="fr-FR"/>
        </w:rPr>
      </w:pPr>
    </w:p>
    <w:p w:rsidR="00A371BD" w:rsidRDefault="00A371BD" w:rsidP="00153A50">
      <w:pPr>
        <w:spacing w:line="360" w:lineRule="auto"/>
        <w:jc w:val="both"/>
        <w:rPr>
          <w:b/>
          <w:sz w:val="24"/>
          <w:szCs w:val="24"/>
          <w:lang w:val="fr-FR"/>
        </w:rPr>
      </w:pPr>
    </w:p>
    <w:p w:rsidR="00A371BD" w:rsidRDefault="00A371BD" w:rsidP="00153A50">
      <w:pPr>
        <w:spacing w:line="360" w:lineRule="auto"/>
        <w:jc w:val="both"/>
        <w:rPr>
          <w:b/>
          <w:sz w:val="24"/>
          <w:szCs w:val="24"/>
          <w:lang w:val="fr-FR"/>
        </w:rPr>
      </w:pPr>
    </w:p>
    <w:p w:rsidR="00A371BD" w:rsidRDefault="00A371BD" w:rsidP="00153A50">
      <w:pPr>
        <w:spacing w:line="360" w:lineRule="auto"/>
        <w:jc w:val="both"/>
        <w:rPr>
          <w:b/>
          <w:sz w:val="24"/>
          <w:szCs w:val="24"/>
          <w:lang w:val="fr-FR"/>
        </w:rPr>
      </w:pPr>
    </w:p>
    <w:p w:rsidR="00A8220F" w:rsidRDefault="00A8220F" w:rsidP="00153A50">
      <w:pPr>
        <w:spacing w:line="360" w:lineRule="auto"/>
        <w:jc w:val="both"/>
        <w:rPr>
          <w:b/>
          <w:sz w:val="24"/>
          <w:szCs w:val="24"/>
          <w:lang w:val="fr-FR"/>
        </w:rPr>
      </w:pPr>
    </w:p>
    <w:p w:rsidR="003C65C2" w:rsidRDefault="00153A50" w:rsidP="00153A50">
      <w:pPr>
        <w:spacing w:line="360" w:lineRule="auto"/>
        <w:jc w:val="both"/>
        <w:rPr>
          <w:sz w:val="24"/>
          <w:szCs w:val="24"/>
          <w:lang w:val="fr-FR"/>
        </w:rPr>
      </w:pPr>
      <w:r w:rsidRPr="00153A50">
        <w:rPr>
          <w:b/>
          <w:sz w:val="24"/>
          <w:szCs w:val="24"/>
          <w:lang w:val="fr-FR"/>
        </w:rPr>
        <w:lastRenderedPageBreak/>
        <w:t>Carte 2.</w:t>
      </w:r>
      <w:r>
        <w:rPr>
          <w:sz w:val="24"/>
          <w:szCs w:val="24"/>
          <w:lang w:val="fr-FR"/>
        </w:rPr>
        <w:t xml:space="preserve"> Distribution du mariage homosexuel en Espagne par genre (2005-2014).</w:t>
      </w:r>
    </w:p>
    <w:p w:rsidR="003C65C2" w:rsidRDefault="003C65C2" w:rsidP="003C10C0">
      <w:pPr>
        <w:spacing w:line="360" w:lineRule="auto"/>
        <w:ind w:firstLine="708"/>
        <w:jc w:val="both"/>
        <w:rPr>
          <w:sz w:val="24"/>
          <w:szCs w:val="24"/>
          <w:lang w:val="fr-FR"/>
        </w:rPr>
      </w:pPr>
      <w:r>
        <w:rPr>
          <w:noProof/>
          <w:sz w:val="24"/>
          <w:szCs w:val="24"/>
          <w:lang w:eastAsia="es-ES"/>
        </w:rPr>
        <w:drawing>
          <wp:inline distT="0" distB="0" distL="0" distR="0">
            <wp:extent cx="3676970" cy="2615647"/>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679670" cy="2617567"/>
                    </a:xfrm>
                    <a:prstGeom prst="rect">
                      <a:avLst/>
                    </a:prstGeom>
                    <a:noFill/>
                    <a:ln w="9525">
                      <a:noFill/>
                      <a:miter lim="800000"/>
                      <a:headEnd/>
                      <a:tailEnd/>
                    </a:ln>
                  </pic:spPr>
                </pic:pic>
              </a:graphicData>
            </a:graphic>
          </wp:inline>
        </w:drawing>
      </w:r>
    </w:p>
    <w:p w:rsidR="00153A50" w:rsidRDefault="00153A50" w:rsidP="003C10C0">
      <w:pPr>
        <w:spacing w:line="360" w:lineRule="auto"/>
        <w:ind w:firstLine="708"/>
        <w:jc w:val="both"/>
        <w:rPr>
          <w:sz w:val="24"/>
          <w:szCs w:val="24"/>
          <w:lang w:val="fr-FR"/>
        </w:rPr>
      </w:pPr>
      <w:r>
        <w:rPr>
          <w:lang w:val="fr-FR"/>
        </w:rPr>
        <w:t>Source : INE, Mouvement Natur</w:t>
      </w:r>
      <w:r w:rsidR="00A371BD">
        <w:rPr>
          <w:lang w:val="fr-FR"/>
        </w:rPr>
        <w:t>e</w:t>
      </w:r>
      <w:r>
        <w:rPr>
          <w:lang w:val="fr-FR"/>
        </w:rPr>
        <w:t>l de Population</w:t>
      </w:r>
    </w:p>
    <w:p w:rsidR="00007A6F" w:rsidRDefault="00007A6F" w:rsidP="00B70CCF">
      <w:pPr>
        <w:spacing w:line="360" w:lineRule="auto"/>
        <w:jc w:val="both"/>
        <w:rPr>
          <w:b/>
          <w:sz w:val="24"/>
          <w:szCs w:val="24"/>
          <w:lang w:val="fr-FR"/>
        </w:rPr>
      </w:pPr>
    </w:p>
    <w:p w:rsidR="00422E5E" w:rsidRPr="00A8220F" w:rsidRDefault="003E5CA7" w:rsidP="00422E5E">
      <w:pPr>
        <w:spacing w:line="360" w:lineRule="auto"/>
        <w:jc w:val="both"/>
        <w:rPr>
          <w:b/>
          <w:sz w:val="24"/>
          <w:szCs w:val="24"/>
          <w:lang w:val="fr-FR"/>
        </w:rPr>
      </w:pPr>
      <w:r>
        <w:rPr>
          <w:b/>
          <w:sz w:val="24"/>
          <w:szCs w:val="24"/>
          <w:lang w:val="fr-FR"/>
        </w:rPr>
        <w:t>5</w:t>
      </w:r>
      <w:r w:rsidR="009036FA" w:rsidRPr="009036FA">
        <w:rPr>
          <w:b/>
          <w:sz w:val="24"/>
          <w:szCs w:val="24"/>
          <w:lang w:val="fr-FR"/>
        </w:rPr>
        <w:t>/</w:t>
      </w:r>
      <w:r w:rsidR="009036FA">
        <w:rPr>
          <w:sz w:val="24"/>
          <w:szCs w:val="24"/>
          <w:lang w:val="fr-FR"/>
        </w:rPr>
        <w:t xml:space="preserve"> </w:t>
      </w:r>
      <w:r w:rsidR="001C482F">
        <w:rPr>
          <w:b/>
          <w:sz w:val="24"/>
          <w:szCs w:val="24"/>
          <w:lang w:val="fr-FR"/>
        </w:rPr>
        <w:t>Principales c</w:t>
      </w:r>
      <w:r w:rsidR="00920012" w:rsidRPr="004F233D">
        <w:rPr>
          <w:b/>
          <w:sz w:val="24"/>
          <w:szCs w:val="24"/>
          <w:lang w:val="fr-FR"/>
        </w:rPr>
        <w:t>aractéristiques démographiques</w:t>
      </w:r>
      <w:r w:rsidR="00C1587B">
        <w:rPr>
          <w:b/>
          <w:sz w:val="24"/>
          <w:szCs w:val="24"/>
          <w:lang w:val="fr-FR"/>
        </w:rPr>
        <w:t xml:space="preserve"> et composition de foyers</w:t>
      </w:r>
    </w:p>
    <w:p w:rsidR="00C1587B" w:rsidRPr="00A8220F" w:rsidRDefault="00C1587B" w:rsidP="00422E5E">
      <w:pPr>
        <w:spacing w:line="360" w:lineRule="auto"/>
        <w:jc w:val="both"/>
        <w:rPr>
          <w:b/>
          <w:i/>
          <w:sz w:val="24"/>
          <w:szCs w:val="24"/>
          <w:lang w:val="fr-FR"/>
        </w:rPr>
      </w:pPr>
      <w:r w:rsidRPr="00C1587B">
        <w:rPr>
          <w:b/>
          <w:i/>
          <w:sz w:val="24"/>
          <w:szCs w:val="24"/>
          <w:lang w:val="fr-FR"/>
        </w:rPr>
        <w:t>5.1 Principales caractéristiques démographiques</w:t>
      </w:r>
    </w:p>
    <w:p w:rsidR="00447233" w:rsidRDefault="00447233" w:rsidP="009D3BD0">
      <w:pPr>
        <w:spacing w:line="360" w:lineRule="auto"/>
        <w:ind w:firstLine="708"/>
        <w:jc w:val="both"/>
        <w:rPr>
          <w:sz w:val="24"/>
          <w:szCs w:val="24"/>
          <w:lang w:val="fr-FR"/>
        </w:rPr>
      </w:pPr>
      <w:r>
        <w:rPr>
          <w:sz w:val="24"/>
          <w:szCs w:val="24"/>
          <w:lang w:val="fr-FR"/>
        </w:rPr>
        <w:t>N</w:t>
      </w:r>
      <w:r w:rsidRPr="003F2BE9">
        <w:rPr>
          <w:sz w:val="24"/>
          <w:szCs w:val="24"/>
          <w:lang w:val="fr-FR"/>
        </w:rPr>
        <w:t>ous sommes</w:t>
      </w:r>
      <w:r>
        <w:rPr>
          <w:sz w:val="24"/>
          <w:szCs w:val="24"/>
          <w:lang w:val="fr-FR"/>
        </w:rPr>
        <w:t xml:space="preserve"> demandés qui étaient les personnes pionnières qui se sont mariées la première année de légalisation du </w:t>
      </w:r>
      <w:r>
        <w:rPr>
          <w:i/>
          <w:sz w:val="24"/>
          <w:szCs w:val="24"/>
          <w:lang w:val="fr-FR"/>
        </w:rPr>
        <w:t>mariage pour tous</w:t>
      </w:r>
      <w:r>
        <w:rPr>
          <w:sz w:val="24"/>
          <w:szCs w:val="24"/>
          <w:lang w:val="fr-FR"/>
        </w:rPr>
        <w:t xml:space="preserve"> (en 2005).  M</w:t>
      </w:r>
      <w:r w:rsidRPr="003F2BE9">
        <w:rPr>
          <w:sz w:val="24"/>
          <w:szCs w:val="24"/>
          <w:lang w:val="fr-FR"/>
        </w:rPr>
        <w:t>alheureusement</w:t>
      </w:r>
      <w:r>
        <w:rPr>
          <w:sz w:val="24"/>
          <w:szCs w:val="24"/>
          <w:lang w:val="fr-FR"/>
        </w:rPr>
        <w:t>, les statistiques du M</w:t>
      </w:r>
      <w:r w:rsidRPr="00B86C92">
        <w:rPr>
          <w:sz w:val="24"/>
          <w:szCs w:val="24"/>
          <w:lang w:val="fr-FR"/>
        </w:rPr>
        <w:t xml:space="preserve">ouvement </w:t>
      </w:r>
      <w:r>
        <w:rPr>
          <w:sz w:val="24"/>
          <w:szCs w:val="24"/>
          <w:lang w:val="fr-FR"/>
        </w:rPr>
        <w:t>Naturel de P</w:t>
      </w:r>
      <w:r w:rsidRPr="00B86C92">
        <w:rPr>
          <w:sz w:val="24"/>
          <w:szCs w:val="24"/>
          <w:lang w:val="fr-FR"/>
        </w:rPr>
        <w:t>opulation</w:t>
      </w:r>
      <w:r>
        <w:rPr>
          <w:sz w:val="24"/>
          <w:szCs w:val="24"/>
          <w:lang w:val="fr-FR"/>
        </w:rPr>
        <w:t xml:space="preserve"> de l’INE</w:t>
      </w:r>
      <w:r w:rsidRPr="00B86C92">
        <w:rPr>
          <w:sz w:val="24"/>
          <w:szCs w:val="24"/>
          <w:lang w:val="fr-FR"/>
        </w:rPr>
        <w:t xml:space="preserve"> </w:t>
      </w:r>
      <w:r>
        <w:rPr>
          <w:sz w:val="24"/>
          <w:szCs w:val="24"/>
          <w:lang w:val="fr-FR"/>
        </w:rPr>
        <w:t>donnent peu d’informations sur les profils des conjoints. Mais, au</w:t>
      </w:r>
      <w:r w:rsidRPr="00954438">
        <w:rPr>
          <w:sz w:val="24"/>
          <w:szCs w:val="24"/>
          <w:lang w:val="fr-FR"/>
        </w:rPr>
        <w:t xml:space="preserve"> moins</w:t>
      </w:r>
      <w:r>
        <w:rPr>
          <w:sz w:val="24"/>
          <w:szCs w:val="24"/>
          <w:lang w:val="fr-FR"/>
        </w:rPr>
        <w:t xml:space="preserve">, </w:t>
      </w:r>
      <w:r w:rsidR="00E85397">
        <w:rPr>
          <w:sz w:val="24"/>
          <w:szCs w:val="24"/>
          <w:lang w:val="fr-FR"/>
        </w:rPr>
        <w:t>nous pouvons savoir</w:t>
      </w:r>
      <w:r>
        <w:rPr>
          <w:sz w:val="24"/>
          <w:szCs w:val="24"/>
          <w:lang w:val="fr-FR"/>
        </w:rPr>
        <w:t>, par exemple, qu’ils ont été, en grand</w:t>
      </w:r>
      <w:r w:rsidR="00BC3B12">
        <w:rPr>
          <w:sz w:val="24"/>
          <w:szCs w:val="24"/>
          <w:lang w:val="fr-FR"/>
        </w:rPr>
        <w:t>e</w:t>
      </w:r>
      <w:r>
        <w:rPr>
          <w:sz w:val="24"/>
          <w:szCs w:val="24"/>
          <w:lang w:val="fr-FR"/>
        </w:rPr>
        <w:t xml:space="preserve"> proportion, de personnes plutôt jeunes ou </w:t>
      </w:r>
      <w:r w:rsidRPr="00447233">
        <w:rPr>
          <w:sz w:val="24"/>
          <w:szCs w:val="24"/>
          <w:lang w:val="fr-FR"/>
        </w:rPr>
        <w:t xml:space="preserve">dans </w:t>
      </w:r>
      <w:r>
        <w:rPr>
          <w:sz w:val="24"/>
          <w:szCs w:val="24"/>
          <w:lang w:val="fr-FR"/>
        </w:rPr>
        <w:t>la</w:t>
      </w:r>
      <w:r w:rsidRPr="00447233">
        <w:rPr>
          <w:sz w:val="24"/>
          <w:szCs w:val="24"/>
          <w:lang w:val="fr-FR"/>
        </w:rPr>
        <w:t xml:space="preserve"> transition vers l'âge mûr</w:t>
      </w:r>
      <w:r>
        <w:rPr>
          <w:sz w:val="24"/>
          <w:szCs w:val="24"/>
          <w:lang w:val="fr-FR"/>
        </w:rPr>
        <w:t> : la plupart avaient un âge entre 30 et 50 ans.</w:t>
      </w:r>
      <w:r w:rsidR="009D3BD0">
        <w:rPr>
          <w:sz w:val="24"/>
          <w:szCs w:val="24"/>
          <w:lang w:val="fr-FR"/>
        </w:rPr>
        <w:t xml:space="preserve"> </w:t>
      </w:r>
      <w:r w:rsidR="009D3BD0" w:rsidRPr="00954438">
        <w:rPr>
          <w:sz w:val="24"/>
          <w:szCs w:val="24"/>
          <w:lang w:val="fr-FR"/>
        </w:rPr>
        <w:t xml:space="preserve">Le degré de jeunesse était plus grand </w:t>
      </w:r>
      <w:r w:rsidR="009D3BD0">
        <w:rPr>
          <w:sz w:val="24"/>
          <w:szCs w:val="24"/>
          <w:lang w:val="fr-FR"/>
        </w:rPr>
        <w:t>entre</w:t>
      </w:r>
      <w:r w:rsidR="009D3BD0" w:rsidRPr="00954438">
        <w:rPr>
          <w:sz w:val="24"/>
          <w:szCs w:val="24"/>
          <w:lang w:val="fr-FR"/>
        </w:rPr>
        <w:t xml:space="preserve"> les </w:t>
      </w:r>
      <w:r w:rsidR="009D3BD0">
        <w:rPr>
          <w:sz w:val="24"/>
          <w:szCs w:val="24"/>
          <w:lang w:val="fr-FR"/>
        </w:rPr>
        <w:t>femmes</w:t>
      </w:r>
      <w:r w:rsidR="009D3BD0" w:rsidRPr="00954438">
        <w:rPr>
          <w:sz w:val="24"/>
          <w:szCs w:val="24"/>
          <w:lang w:val="fr-FR"/>
        </w:rPr>
        <w:t xml:space="preserve"> </w:t>
      </w:r>
      <w:r w:rsidR="009D3BD0">
        <w:rPr>
          <w:sz w:val="24"/>
          <w:szCs w:val="24"/>
          <w:lang w:val="fr-FR"/>
        </w:rPr>
        <w:t xml:space="preserve">qu’au sexe masculin : </w:t>
      </w:r>
      <w:r w:rsidR="009D3BD0" w:rsidRPr="00AC2072">
        <w:rPr>
          <w:sz w:val="24"/>
          <w:szCs w:val="24"/>
          <w:lang w:val="fr-FR"/>
        </w:rPr>
        <w:t>81,7 % des femmes avaient moins de 50 ans; proportion pour les hommes d</w:t>
      </w:r>
      <w:r w:rsidR="009D3BD0">
        <w:rPr>
          <w:sz w:val="24"/>
          <w:szCs w:val="24"/>
          <w:lang w:val="fr-FR"/>
        </w:rPr>
        <w:t xml:space="preserve">u 67 % (11,8% plus de 60 ans). </w:t>
      </w:r>
      <w:r w:rsidR="00BC3B12" w:rsidRPr="00BC3B12">
        <w:rPr>
          <w:sz w:val="24"/>
          <w:szCs w:val="24"/>
          <w:lang w:val="fr-FR"/>
        </w:rPr>
        <w:t>Ces données nous font penser que</w:t>
      </w:r>
      <w:r w:rsidR="005002BD">
        <w:rPr>
          <w:sz w:val="24"/>
          <w:szCs w:val="24"/>
          <w:lang w:val="fr-FR"/>
        </w:rPr>
        <w:t>,</w:t>
      </w:r>
      <w:r w:rsidR="00BC3B12" w:rsidRPr="00BC3B12">
        <w:rPr>
          <w:sz w:val="24"/>
          <w:szCs w:val="24"/>
          <w:lang w:val="fr-FR"/>
        </w:rPr>
        <w:t xml:space="preserve"> pour </w:t>
      </w:r>
      <w:r w:rsidR="00BC3B12">
        <w:rPr>
          <w:sz w:val="24"/>
          <w:szCs w:val="24"/>
          <w:lang w:val="fr-FR"/>
        </w:rPr>
        <w:t>pas mal de</w:t>
      </w:r>
      <w:r w:rsidR="005002BD">
        <w:rPr>
          <w:sz w:val="24"/>
          <w:szCs w:val="24"/>
          <w:lang w:val="fr-FR"/>
        </w:rPr>
        <w:t xml:space="preserve"> cas, </w:t>
      </w:r>
      <w:r w:rsidR="00BC3B12" w:rsidRPr="00BC3B12">
        <w:rPr>
          <w:sz w:val="24"/>
          <w:szCs w:val="24"/>
          <w:lang w:val="fr-FR"/>
        </w:rPr>
        <w:t xml:space="preserve">l'approbation du mariage homosexuel a signifié la culmination d'une vie </w:t>
      </w:r>
      <w:r w:rsidR="00BC3B12">
        <w:rPr>
          <w:sz w:val="24"/>
          <w:szCs w:val="24"/>
          <w:lang w:val="fr-FR"/>
        </w:rPr>
        <w:t>en couple avec plusieurs ans de trajectoire</w:t>
      </w:r>
      <w:r w:rsidR="009D3BD0">
        <w:rPr>
          <w:sz w:val="24"/>
          <w:szCs w:val="24"/>
          <w:lang w:val="fr-FR"/>
        </w:rPr>
        <w:t xml:space="preserve">, notamment </w:t>
      </w:r>
      <w:r w:rsidR="005002BD">
        <w:rPr>
          <w:sz w:val="24"/>
          <w:szCs w:val="24"/>
          <w:lang w:val="fr-FR"/>
        </w:rPr>
        <w:t>en ce qui concerne les hommes</w:t>
      </w:r>
      <w:r w:rsidR="009D3BD0">
        <w:rPr>
          <w:sz w:val="24"/>
          <w:szCs w:val="24"/>
          <w:lang w:val="fr-FR"/>
        </w:rPr>
        <w:t xml:space="preserve">. </w:t>
      </w:r>
    </w:p>
    <w:p w:rsidR="00102269" w:rsidRDefault="00007A6F" w:rsidP="0097666A">
      <w:pPr>
        <w:spacing w:line="360" w:lineRule="auto"/>
        <w:ind w:firstLine="708"/>
        <w:jc w:val="both"/>
        <w:rPr>
          <w:sz w:val="24"/>
          <w:szCs w:val="24"/>
          <w:lang w:val="fr-FR"/>
        </w:rPr>
      </w:pPr>
      <w:r>
        <w:rPr>
          <w:sz w:val="24"/>
          <w:szCs w:val="24"/>
          <w:lang w:val="fr-FR"/>
        </w:rPr>
        <w:t>Pour</w:t>
      </w:r>
      <w:r w:rsidR="008069E9">
        <w:rPr>
          <w:sz w:val="24"/>
          <w:szCs w:val="24"/>
          <w:lang w:val="fr-FR"/>
        </w:rPr>
        <w:t xml:space="preserve"> mieux</w:t>
      </w:r>
      <w:r w:rsidR="00197070" w:rsidRPr="00197070">
        <w:rPr>
          <w:sz w:val="24"/>
          <w:szCs w:val="24"/>
          <w:lang w:val="fr-FR"/>
        </w:rPr>
        <w:t xml:space="preserve"> connaître les </w:t>
      </w:r>
      <w:r w:rsidRPr="00197070">
        <w:rPr>
          <w:sz w:val="24"/>
          <w:szCs w:val="24"/>
          <w:lang w:val="fr-FR"/>
        </w:rPr>
        <w:t xml:space="preserve">principales </w:t>
      </w:r>
      <w:r w:rsidR="00197070" w:rsidRPr="00197070">
        <w:rPr>
          <w:sz w:val="24"/>
          <w:szCs w:val="24"/>
          <w:lang w:val="fr-FR"/>
        </w:rPr>
        <w:t xml:space="preserve">caractéristiques </w:t>
      </w:r>
      <w:r>
        <w:rPr>
          <w:sz w:val="24"/>
          <w:szCs w:val="24"/>
          <w:lang w:val="fr-FR"/>
        </w:rPr>
        <w:t xml:space="preserve">sociodémographiques </w:t>
      </w:r>
      <w:r w:rsidR="00197070" w:rsidRPr="00197070">
        <w:rPr>
          <w:sz w:val="24"/>
          <w:szCs w:val="24"/>
          <w:lang w:val="fr-FR"/>
        </w:rPr>
        <w:t xml:space="preserve">des personnes qui </w:t>
      </w:r>
      <w:r w:rsidR="00197070">
        <w:rPr>
          <w:sz w:val="24"/>
          <w:szCs w:val="24"/>
          <w:lang w:val="fr-FR"/>
        </w:rPr>
        <w:t>se sont mariés</w:t>
      </w:r>
      <w:r w:rsidR="00197070" w:rsidRPr="00197070">
        <w:rPr>
          <w:sz w:val="24"/>
          <w:szCs w:val="24"/>
          <w:lang w:val="fr-FR"/>
        </w:rPr>
        <w:t xml:space="preserve"> dans le cadre du mariage homosexuel </w:t>
      </w:r>
      <w:r>
        <w:rPr>
          <w:sz w:val="24"/>
          <w:szCs w:val="24"/>
          <w:lang w:val="fr-FR"/>
        </w:rPr>
        <w:t>en Espagne</w:t>
      </w:r>
      <w:r w:rsidR="0097666A">
        <w:rPr>
          <w:sz w:val="24"/>
          <w:szCs w:val="24"/>
          <w:lang w:val="fr-FR"/>
        </w:rPr>
        <w:t xml:space="preserve"> nous comptons aussi avec le dernier recensement de population (INE, 2005), </w:t>
      </w:r>
      <w:r w:rsidR="00197070" w:rsidRPr="00F70E48">
        <w:rPr>
          <w:sz w:val="24"/>
          <w:szCs w:val="24"/>
          <w:lang w:val="fr-FR"/>
        </w:rPr>
        <w:t xml:space="preserve">malgré ses </w:t>
      </w:r>
      <w:r w:rsidR="00197070" w:rsidRPr="00F70E48">
        <w:rPr>
          <w:sz w:val="24"/>
          <w:szCs w:val="24"/>
          <w:lang w:val="fr-FR"/>
        </w:rPr>
        <w:lastRenderedPageBreak/>
        <w:t xml:space="preserve">limitations pour </w:t>
      </w:r>
      <w:r w:rsidR="00102269">
        <w:rPr>
          <w:sz w:val="24"/>
          <w:szCs w:val="24"/>
          <w:lang w:val="fr-FR"/>
        </w:rPr>
        <w:t>avoir été</w:t>
      </w:r>
      <w:r w:rsidR="00197070" w:rsidRPr="00F70E48">
        <w:rPr>
          <w:sz w:val="24"/>
          <w:szCs w:val="24"/>
          <w:lang w:val="fr-FR"/>
        </w:rPr>
        <w:t xml:space="preserve"> réalisé à partir d'un échantillonnage de population</w:t>
      </w:r>
      <w:r w:rsidR="00102269">
        <w:rPr>
          <w:sz w:val="24"/>
          <w:szCs w:val="24"/>
          <w:lang w:val="fr-FR"/>
        </w:rPr>
        <w:t xml:space="preserve"> et non comme un registre exhaustif foyer par foyer. </w:t>
      </w:r>
    </w:p>
    <w:p w:rsidR="008108EE" w:rsidRDefault="00386CE9" w:rsidP="00B77C73">
      <w:pPr>
        <w:spacing w:line="360" w:lineRule="auto"/>
        <w:ind w:firstLine="708"/>
        <w:jc w:val="both"/>
        <w:rPr>
          <w:sz w:val="24"/>
          <w:szCs w:val="24"/>
          <w:lang w:val="fr-FR"/>
        </w:rPr>
      </w:pPr>
      <w:r>
        <w:rPr>
          <w:sz w:val="24"/>
          <w:szCs w:val="24"/>
          <w:lang w:val="fr-FR"/>
        </w:rPr>
        <w:t>L’information du recensement confirme la jeunesse</w:t>
      </w:r>
      <w:r w:rsidR="00257D01">
        <w:rPr>
          <w:sz w:val="24"/>
          <w:szCs w:val="24"/>
          <w:lang w:val="fr-FR"/>
        </w:rPr>
        <w:t xml:space="preserve">, mais souvent </w:t>
      </w:r>
      <w:r>
        <w:rPr>
          <w:sz w:val="24"/>
          <w:szCs w:val="24"/>
          <w:lang w:val="fr-FR"/>
        </w:rPr>
        <w:t>en transition vers l’âge mû</w:t>
      </w:r>
      <w:r w:rsidR="00257D01">
        <w:rPr>
          <w:sz w:val="24"/>
          <w:szCs w:val="24"/>
          <w:lang w:val="fr-FR"/>
        </w:rPr>
        <w:t xml:space="preserve">r, </w:t>
      </w:r>
      <w:r>
        <w:rPr>
          <w:sz w:val="24"/>
          <w:szCs w:val="24"/>
          <w:lang w:val="fr-FR"/>
        </w:rPr>
        <w:t xml:space="preserve">des couples homosexuels. </w:t>
      </w:r>
      <w:r w:rsidR="008953F2" w:rsidRPr="008953F2">
        <w:rPr>
          <w:sz w:val="24"/>
          <w:szCs w:val="24"/>
          <w:lang w:val="fr-FR"/>
        </w:rPr>
        <w:t>L'âge moyen des hommes mariés</w:t>
      </w:r>
      <w:r w:rsidR="00354E20">
        <w:rPr>
          <w:sz w:val="24"/>
          <w:szCs w:val="24"/>
          <w:lang w:val="fr-FR"/>
        </w:rPr>
        <w:t xml:space="preserve"> (44,6)</w:t>
      </w:r>
      <w:r w:rsidR="008953F2" w:rsidRPr="008953F2">
        <w:rPr>
          <w:sz w:val="24"/>
          <w:szCs w:val="24"/>
          <w:lang w:val="fr-FR"/>
        </w:rPr>
        <w:t xml:space="preserve"> dans un couple homosexuel est plus élevé que celle des femmes</w:t>
      </w:r>
      <w:r w:rsidR="008953F2">
        <w:rPr>
          <w:sz w:val="24"/>
          <w:szCs w:val="24"/>
          <w:lang w:val="fr-FR"/>
        </w:rPr>
        <w:t xml:space="preserve"> mariées</w:t>
      </w:r>
      <w:r w:rsidR="00354E20">
        <w:rPr>
          <w:sz w:val="24"/>
          <w:szCs w:val="24"/>
          <w:lang w:val="fr-FR"/>
        </w:rPr>
        <w:t xml:space="preserve"> (42,3)</w:t>
      </w:r>
      <w:r w:rsidR="008953F2" w:rsidRPr="008953F2">
        <w:rPr>
          <w:sz w:val="24"/>
          <w:szCs w:val="24"/>
          <w:lang w:val="fr-FR"/>
        </w:rPr>
        <w:t>.</w:t>
      </w:r>
      <w:r>
        <w:rPr>
          <w:sz w:val="24"/>
          <w:szCs w:val="24"/>
          <w:lang w:val="fr-FR"/>
        </w:rPr>
        <w:t xml:space="preserve"> </w:t>
      </w:r>
      <w:r w:rsidR="002B7A3A">
        <w:rPr>
          <w:sz w:val="24"/>
          <w:szCs w:val="24"/>
          <w:lang w:val="fr-FR"/>
        </w:rPr>
        <w:t>L</w:t>
      </w:r>
      <w:r w:rsidR="002B7A3A" w:rsidRPr="002B7A3A">
        <w:rPr>
          <w:sz w:val="24"/>
          <w:szCs w:val="24"/>
          <w:lang w:val="fr-FR"/>
        </w:rPr>
        <w:t>es plus hautes fréquences se concentrent</w:t>
      </w:r>
      <w:r w:rsidR="00247488">
        <w:rPr>
          <w:sz w:val="24"/>
          <w:szCs w:val="24"/>
          <w:lang w:val="fr-FR"/>
        </w:rPr>
        <w:t xml:space="preserve"> pour les deux sexes</w:t>
      </w:r>
      <w:r w:rsidR="002B7A3A" w:rsidRPr="002B7A3A">
        <w:rPr>
          <w:sz w:val="24"/>
          <w:szCs w:val="24"/>
          <w:lang w:val="fr-FR"/>
        </w:rPr>
        <w:t xml:space="preserve"> dans les cohortes qui vont de 30 à 49 ans</w:t>
      </w:r>
      <w:r w:rsidR="00247488">
        <w:rPr>
          <w:sz w:val="24"/>
          <w:szCs w:val="24"/>
          <w:lang w:val="fr-FR"/>
        </w:rPr>
        <w:t xml:space="preserve">, </w:t>
      </w:r>
      <w:r w:rsidR="002B7A3A" w:rsidRPr="002B7A3A">
        <w:rPr>
          <w:sz w:val="24"/>
          <w:szCs w:val="24"/>
          <w:lang w:val="fr-FR"/>
        </w:rPr>
        <w:t xml:space="preserve">bien </w:t>
      </w:r>
      <w:r w:rsidR="00247488">
        <w:rPr>
          <w:sz w:val="24"/>
          <w:szCs w:val="24"/>
          <w:lang w:val="fr-FR"/>
        </w:rPr>
        <w:t>que pour les femmes</w:t>
      </w:r>
      <w:r w:rsidR="002B7A3A" w:rsidRPr="002B7A3A">
        <w:rPr>
          <w:sz w:val="24"/>
          <w:szCs w:val="24"/>
          <w:lang w:val="fr-FR"/>
        </w:rPr>
        <w:t xml:space="preserve"> soient encore plus élevées.</w:t>
      </w:r>
      <w:r w:rsidR="00D07813">
        <w:rPr>
          <w:sz w:val="24"/>
          <w:szCs w:val="24"/>
          <w:lang w:val="fr-FR"/>
        </w:rPr>
        <w:t xml:space="preserve"> En fait, la moitié des femmes ont moins de 40% ; pourcentage du 37,6% pour les hommes. </w:t>
      </w:r>
      <w:r w:rsidR="00566ABD" w:rsidRPr="00566ABD">
        <w:rPr>
          <w:sz w:val="24"/>
          <w:szCs w:val="24"/>
          <w:lang w:val="fr-FR"/>
        </w:rPr>
        <w:t xml:space="preserve">Comme nous </w:t>
      </w:r>
      <w:r w:rsidR="00566ABD">
        <w:rPr>
          <w:sz w:val="24"/>
          <w:szCs w:val="24"/>
          <w:lang w:val="fr-FR"/>
        </w:rPr>
        <w:t>l’</w:t>
      </w:r>
      <w:r w:rsidR="00566ABD" w:rsidRPr="00566ABD">
        <w:rPr>
          <w:sz w:val="24"/>
          <w:szCs w:val="24"/>
          <w:lang w:val="fr-FR"/>
        </w:rPr>
        <w:t xml:space="preserve">avons </w:t>
      </w:r>
      <w:r w:rsidR="00566ABD">
        <w:rPr>
          <w:sz w:val="24"/>
          <w:szCs w:val="24"/>
          <w:lang w:val="fr-FR"/>
        </w:rPr>
        <w:t>souligné auparavant</w:t>
      </w:r>
      <w:r w:rsidR="00566ABD" w:rsidRPr="00566ABD">
        <w:rPr>
          <w:sz w:val="24"/>
          <w:szCs w:val="24"/>
          <w:lang w:val="fr-FR"/>
        </w:rPr>
        <w:t xml:space="preserve">, possiblement </w:t>
      </w:r>
      <w:r w:rsidR="00566ABD">
        <w:rPr>
          <w:sz w:val="24"/>
          <w:szCs w:val="24"/>
          <w:lang w:val="fr-FR"/>
        </w:rPr>
        <w:t xml:space="preserve">les couples avec une longue trajectoire sont plus nombreux entre les hommes en rapport aux femmes, à cause de la plus grande invisibilité et les difficultés pour les relations homosexuelles entre les femmes.   </w:t>
      </w:r>
    </w:p>
    <w:p w:rsidR="00B77C73" w:rsidRDefault="00B77C73" w:rsidP="00B77C73">
      <w:pPr>
        <w:spacing w:line="360" w:lineRule="auto"/>
        <w:ind w:firstLine="708"/>
        <w:jc w:val="both"/>
        <w:rPr>
          <w:sz w:val="24"/>
          <w:szCs w:val="24"/>
          <w:lang w:val="fr-FR"/>
        </w:rPr>
      </w:pPr>
    </w:p>
    <w:p w:rsidR="008108EE" w:rsidRDefault="008108EE" w:rsidP="008108EE">
      <w:pPr>
        <w:spacing w:line="360" w:lineRule="auto"/>
        <w:jc w:val="both"/>
        <w:rPr>
          <w:sz w:val="24"/>
          <w:szCs w:val="24"/>
          <w:lang w:val="fr-FR"/>
        </w:rPr>
      </w:pPr>
      <w:r w:rsidRPr="00776148">
        <w:rPr>
          <w:b/>
          <w:sz w:val="24"/>
          <w:szCs w:val="24"/>
          <w:lang w:val="fr-FR"/>
        </w:rPr>
        <w:t>Graphique</w:t>
      </w:r>
      <w:r w:rsidR="00137F05">
        <w:rPr>
          <w:b/>
          <w:sz w:val="24"/>
          <w:szCs w:val="24"/>
          <w:lang w:val="fr-FR"/>
        </w:rPr>
        <w:t xml:space="preserve"> 4</w:t>
      </w:r>
      <w:r w:rsidRPr="00776148">
        <w:rPr>
          <w:b/>
          <w:sz w:val="24"/>
          <w:szCs w:val="24"/>
          <w:lang w:val="fr-FR"/>
        </w:rPr>
        <w:t>.</w:t>
      </w:r>
      <w:r>
        <w:rPr>
          <w:sz w:val="24"/>
          <w:szCs w:val="24"/>
          <w:lang w:val="fr-FR"/>
        </w:rPr>
        <w:t xml:space="preserve"> Âge des hommes et des femmes en mariage homosexuel</w:t>
      </w:r>
    </w:p>
    <w:p w:rsidR="008108EE" w:rsidRDefault="008108EE" w:rsidP="008108EE">
      <w:pPr>
        <w:spacing w:line="360" w:lineRule="auto"/>
        <w:jc w:val="center"/>
        <w:rPr>
          <w:sz w:val="24"/>
          <w:szCs w:val="24"/>
          <w:lang w:val="fr-FR"/>
        </w:rPr>
      </w:pPr>
      <w:r w:rsidRPr="008108EE">
        <w:rPr>
          <w:noProof/>
          <w:sz w:val="24"/>
          <w:szCs w:val="24"/>
          <w:lang w:eastAsia="es-ES"/>
        </w:rPr>
        <w:drawing>
          <wp:inline distT="0" distB="0" distL="0" distR="0">
            <wp:extent cx="3992015" cy="2335946"/>
            <wp:effectExtent l="19050" t="0" r="27535" b="7204"/>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7F05" w:rsidRPr="00137F05" w:rsidRDefault="00137F05" w:rsidP="008108EE">
      <w:pPr>
        <w:spacing w:line="360" w:lineRule="auto"/>
        <w:jc w:val="center"/>
        <w:rPr>
          <w:lang w:val="fr-FR"/>
        </w:rPr>
      </w:pPr>
      <w:r>
        <w:rPr>
          <w:lang w:val="fr-FR"/>
        </w:rPr>
        <w:t>Source : INE, Recensement de Population 2011</w:t>
      </w:r>
    </w:p>
    <w:p w:rsidR="00776148" w:rsidRDefault="00776148" w:rsidP="001F5E0F">
      <w:pPr>
        <w:spacing w:line="360" w:lineRule="auto"/>
        <w:jc w:val="both"/>
        <w:rPr>
          <w:sz w:val="24"/>
          <w:szCs w:val="24"/>
          <w:lang w:val="fr-FR"/>
        </w:rPr>
      </w:pPr>
    </w:p>
    <w:p w:rsidR="000517D8" w:rsidRDefault="00303E4A" w:rsidP="00C52CAC">
      <w:pPr>
        <w:spacing w:line="360" w:lineRule="auto"/>
        <w:ind w:firstLine="708"/>
        <w:jc w:val="both"/>
        <w:rPr>
          <w:sz w:val="24"/>
          <w:szCs w:val="24"/>
          <w:lang w:val="fr-FR"/>
        </w:rPr>
      </w:pPr>
      <w:r w:rsidRPr="00303E4A">
        <w:rPr>
          <w:sz w:val="24"/>
          <w:szCs w:val="24"/>
          <w:lang w:val="fr-FR"/>
        </w:rPr>
        <w:t xml:space="preserve">Une donnée surprenante du recensement de population est le </w:t>
      </w:r>
      <w:r w:rsidR="00776148">
        <w:rPr>
          <w:sz w:val="24"/>
          <w:szCs w:val="24"/>
          <w:lang w:val="fr-FR"/>
        </w:rPr>
        <w:t xml:space="preserve">pourcentage des couples </w:t>
      </w:r>
      <w:r w:rsidRPr="00303E4A">
        <w:rPr>
          <w:sz w:val="24"/>
          <w:szCs w:val="24"/>
          <w:lang w:val="fr-FR"/>
        </w:rPr>
        <w:t xml:space="preserve">mixtes dans le mariage homosexuel en </w:t>
      </w:r>
      <w:r w:rsidR="001F5E0F">
        <w:rPr>
          <w:sz w:val="24"/>
          <w:szCs w:val="24"/>
          <w:lang w:val="fr-FR"/>
        </w:rPr>
        <w:t>Espagne</w:t>
      </w:r>
      <w:r w:rsidR="00886D85">
        <w:rPr>
          <w:sz w:val="24"/>
          <w:szCs w:val="24"/>
          <w:lang w:val="fr-FR"/>
        </w:rPr>
        <w:t xml:space="preserve"> : 22% sont composées par une personne de nationalité espagnole et étrangère. </w:t>
      </w:r>
      <w:r w:rsidR="00886D85" w:rsidRPr="00303E4A">
        <w:rPr>
          <w:sz w:val="24"/>
          <w:szCs w:val="24"/>
          <w:lang w:val="fr-FR"/>
        </w:rPr>
        <w:t>Sans oublier</w:t>
      </w:r>
      <w:r w:rsidR="00886D85">
        <w:rPr>
          <w:sz w:val="24"/>
          <w:szCs w:val="24"/>
          <w:lang w:val="fr-FR"/>
        </w:rPr>
        <w:t xml:space="preserve"> que 16 % des unions sont formées</w:t>
      </w:r>
      <w:r w:rsidR="00886D85" w:rsidRPr="00303E4A">
        <w:rPr>
          <w:sz w:val="24"/>
          <w:szCs w:val="24"/>
          <w:lang w:val="fr-FR"/>
        </w:rPr>
        <w:t xml:space="preserve"> par </w:t>
      </w:r>
      <w:r w:rsidR="00886D85">
        <w:rPr>
          <w:sz w:val="24"/>
          <w:szCs w:val="24"/>
          <w:lang w:val="fr-FR"/>
        </w:rPr>
        <w:t>deux étrangers</w:t>
      </w:r>
      <w:r w:rsidR="00886D85" w:rsidRPr="00303E4A">
        <w:rPr>
          <w:sz w:val="24"/>
          <w:szCs w:val="24"/>
          <w:lang w:val="fr-FR"/>
        </w:rPr>
        <w:t>.</w:t>
      </w:r>
      <w:r w:rsidR="00A20BC9" w:rsidRPr="00A20BC9">
        <w:rPr>
          <w:sz w:val="24"/>
          <w:szCs w:val="24"/>
          <w:lang w:val="fr-FR"/>
        </w:rPr>
        <w:t xml:space="preserve"> </w:t>
      </w:r>
      <w:r w:rsidR="00A20BC9" w:rsidRPr="00BB7664">
        <w:rPr>
          <w:sz w:val="24"/>
          <w:szCs w:val="24"/>
          <w:lang w:val="fr-FR"/>
        </w:rPr>
        <w:t xml:space="preserve">Les nationalités étrangères les plus nombreuses </w:t>
      </w:r>
      <w:r w:rsidR="00A20BC9">
        <w:rPr>
          <w:sz w:val="24"/>
          <w:szCs w:val="24"/>
          <w:lang w:val="fr-FR"/>
        </w:rPr>
        <w:t>sont localisées dans d'autres pays de l'U</w:t>
      </w:r>
      <w:r w:rsidR="00A20BC9" w:rsidRPr="00BB7664">
        <w:rPr>
          <w:sz w:val="24"/>
          <w:szCs w:val="24"/>
          <w:lang w:val="fr-FR"/>
        </w:rPr>
        <w:t>nion</w:t>
      </w:r>
      <w:r w:rsidR="00A20BC9">
        <w:rPr>
          <w:sz w:val="24"/>
          <w:szCs w:val="24"/>
          <w:lang w:val="fr-FR"/>
        </w:rPr>
        <w:t xml:space="preserve"> Européenne (38,1%) et, </w:t>
      </w:r>
      <w:r w:rsidR="00A20BC9" w:rsidRPr="00BB7664">
        <w:rPr>
          <w:sz w:val="24"/>
          <w:szCs w:val="24"/>
          <w:lang w:val="fr-FR"/>
        </w:rPr>
        <w:t xml:space="preserve">dans une </w:t>
      </w:r>
      <w:r w:rsidR="00A20BC9">
        <w:rPr>
          <w:sz w:val="24"/>
          <w:szCs w:val="24"/>
          <w:lang w:val="fr-FR"/>
        </w:rPr>
        <w:t xml:space="preserve">proportion </w:t>
      </w:r>
      <w:r w:rsidR="00A20BC9">
        <w:rPr>
          <w:sz w:val="24"/>
          <w:szCs w:val="24"/>
          <w:lang w:val="fr-FR"/>
        </w:rPr>
        <w:lastRenderedPageBreak/>
        <w:t xml:space="preserve">moins élevée, dans l’Amérique Centrale </w:t>
      </w:r>
      <w:r w:rsidR="00A20BC9" w:rsidRPr="00BB7664">
        <w:rPr>
          <w:sz w:val="24"/>
          <w:szCs w:val="24"/>
          <w:lang w:val="fr-FR"/>
        </w:rPr>
        <w:t>et les Caraïbes</w:t>
      </w:r>
      <w:r w:rsidR="00A20BC9">
        <w:rPr>
          <w:sz w:val="24"/>
          <w:szCs w:val="24"/>
          <w:lang w:val="fr-FR"/>
        </w:rPr>
        <w:t>.</w:t>
      </w:r>
      <w:r w:rsidR="006D3978">
        <w:rPr>
          <w:sz w:val="24"/>
          <w:szCs w:val="24"/>
          <w:lang w:val="fr-FR"/>
        </w:rPr>
        <w:t xml:space="preserve"> </w:t>
      </w:r>
      <w:r w:rsidR="000517D8">
        <w:rPr>
          <w:sz w:val="24"/>
          <w:szCs w:val="24"/>
          <w:lang w:val="fr-FR"/>
        </w:rPr>
        <w:t>Donc, les couples composées par deux conjoints de nationalité espagnole sont « réduites » à 61,2%.</w:t>
      </w:r>
      <w:r w:rsidR="00C52CAC">
        <w:rPr>
          <w:sz w:val="24"/>
          <w:szCs w:val="24"/>
          <w:lang w:val="fr-FR"/>
        </w:rPr>
        <w:t xml:space="preserve"> </w:t>
      </w:r>
      <w:r w:rsidR="00C52CAC" w:rsidRPr="00607034">
        <w:rPr>
          <w:sz w:val="24"/>
          <w:szCs w:val="24"/>
          <w:lang w:val="fr-FR"/>
        </w:rPr>
        <w:t xml:space="preserve">La présence de personnes étrangères est remarquablement plus grande </w:t>
      </w:r>
      <w:r w:rsidR="00C52CAC">
        <w:rPr>
          <w:sz w:val="24"/>
          <w:szCs w:val="24"/>
          <w:lang w:val="fr-FR"/>
        </w:rPr>
        <w:t xml:space="preserve"> </w:t>
      </w:r>
      <w:r w:rsidR="00C52CAC" w:rsidRPr="00607034">
        <w:rPr>
          <w:sz w:val="24"/>
          <w:szCs w:val="24"/>
          <w:lang w:val="fr-FR"/>
        </w:rPr>
        <w:t>dans les mariages entre hommes</w:t>
      </w:r>
      <w:r w:rsidR="00C52CAC">
        <w:rPr>
          <w:sz w:val="24"/>
          <w:szCs w:val="24"/>
          <w:lang w:val="fr-FR"/>
        </w:rPr>
        <w:t xml:space="preserve"> (31,7%)</w:t>
      </w:r>
      <w:r w:rsidR="00C52CAC" w:rsidRPr="00607034">
        <w:rPr>
          <w:sz w:val="24"/>
          <w:szCs w:val="24"/>
          <w:lang w:val="fr-FR"/>
        </w:rPr>
        <w:t xml:space="preserve"> que dans les unions entre des femmes</w:t>
      </w:r>
      <w:r w:rsidR="00C52CAC">
        <w:rPr>
          <w:sz w:val="24"/>
          <w:szCs w:val="24"/>
          <w:lang w:val="fr-FR"/>
        </w:rPr>
        <w:t xml:space="preserve"> (18,5%)</w:t>
      </w:r>
      <w:r w:rsidR="00C52CAC" w:rsidRPr="00607034">
        <w:rPr>
          <w:sz w:val="24"/>
          <w:szCs w:val="24"/>
          <w:lang w:val="fr-FR"/>
        </w:rPr>
        <w:t>.</w:t>
      </w:r>
      <w:r w:rsidR="00C52CAC">
        <w:rPr>
          <w:sz w:val="24"/>
          <w:szCs w:val="24"/>
          <w:lang w:val="fr-FR"/>
        </w:rPr>
        <w:t xml:space="preserve"> </w:t>
      </w:r>
    </w:p>
    <w:p w:rsidR="000A6B6F" w:rsidRDefault="003C6304" w:rsidP="00122D62">
      <w:pPr>
        <w:spacing w:line="360" w:lineRule="auto"/>
        <w:ind w:firstLine="708"/>
        <w:jc w:val="both"/>
        <w:rPr>
          <w:sz w:val="24"/>
          <w:szCs w:val="24"/>
          <w:lang w:val="fr-FR"/>
        </w:rPr>
      </w:pPr>
      <w:r>
        <w:rPr>
          <w:sz w:val="24"/>
          <w:szCs w:val="24"/>
          <w:lang w:val="fr-FR"/>
        </w:rPr>
        <w:t xml:space="preserve">Selon </w:t>
      </w:r>
      <w:proofErr w:type="spellStart"/>
      <w:r>
        <w:rPr>
          <w:sz w:val="24"/>
          <w:szCs w:val="24"/>
          <w:lang w:val="fr-FR"/>
        </w:rPr>
        <w:t>Cortina</w:t>
      </w:r>
      <w:proofErr w:type="spellEnd"/>
      <w:r>
        <w:rPr>
          <w:sz w:val="24"/>
          <w:szCs w:val="24"/>
          <w:lang w:val="fr-FR"/>
        </w:rPr>
        <w:t xml:space="preserve"> (2013), l’existence d’étrangers dans les mariages homosexuels en Espagne s’explique principalement par deux facteurs : d’une part, par l’arrivée d’immigrés en Espagne pendant la décennie passée  </w:t>
      </w:r>
      <w:r w:rsidRPr="003128AF">
        <w:rPr>
          <w:sz w:val="24"/>
          <w:szCs w:val="24"/>
          <w:lang w:val="fr-FR"/>
        </w:rPr>
        <w:t>(l'Espagne était le deuxième pays récept</w:t>
      </w:r>
      <w:r>
        <w:rPr>
          <w:sz w:val="24"/>
          <w:szCs w:val="24"/>
          <w:lang w:val="fr-FR"/>
        </w:rPr>
        <w:t>eur d'immigrants dans le monde)</w:t>
      </w:r>
      <w:r w:rsidR="000A607B">
        <w:rPr>
          <w:sz w:val="24"/>
          <w:szCs w:val="24"/>
          <w:lang w:val="fr-FR"/>
        </w:rPr>
        <w:t xml:space="preserve"> ; </w:t>
      </w:r>
      <w:r w:rsidR="000A607B" w:rsidRPr="00C047BB">
        <w:rPr>
          <w:sz w:val="24"/>
          <w:szCs w:val="24"/>
          <w:lang w:val="fr-FR"/>
        </w:rPr>
        <w:t>par ailleurs, selon l'auteur, l'Espagne a pu être un point d'attraction pour des personnes d'autres pays grâce à la légalisation du mariage homosexuel.</w:t>
      </w:r>
      <w:r w:rsidR="00122D62">
        <w:rPr>
          <w:sz w:val="24"/>
          <w:szCs w:val="24"/>
          <w:lang w:val="fr-FR"/>
        </w:rPr>
        <w:t xml:space="preserve"> </w:t>
      </w:r>
      <w:r w:rsidR="00402010" w:rsidRPr="00402010">
        <w:rPr>
          <w:sz w:val="24"/>
          <w:szCs w:val="24"/>
          <w:lang w:val="fr-FR"/>
        </w:rPr>
        <w:t>La combinaison d'une législation innovatrice en Europe avec les bonnes conditions climatiques a pu favoriser l'arrivée de</w:t>
      </w:r>
      <w:r w:rsidR="00122D62">
        <w:rPr>
          <w:sz w:val="24"/>
          <w:szCs w:val="24"/>
          <w:lang w:val="fr-FR"/>
        </w:rPr>
        <w:t xml:space="preserve"> couples homosexuels en Espagne, notamment dans les villes côtières.  </w:t>
      </w:r>
      <w:r w:rsidR="000A6B6F">
        <w:rPr>
          <w:sz w:val="24"/>
          <w:szCs w:val="24"/>
          <w:lang w:val="fr-FR"/>
        </w:rPr>
        <w:t>En</w:t>
      </w:r>
      <w:r w:rsidR="000A6B6F" w:rsidRPr="000A6B6F">
        <w:rPr>
          <w:sz w:val="24"/>
          <w:szCs w:val="24"/>
          <w:lang w:val="fr-FR"/>
        </w:rPr>
        <w:t xml:space="preserve"> dernier lieu, nous pouvons </w:t>
      </w:r>
      <w:r w:rsidR="000A6B6F">
        <w:rPr>
          <w:sz w:val="24"/>
          <w:szCs w:val="24"/>
          <w:lang w:val="fr-FR"/>
        </w:rPr>
        <w:t xml:space="preserve">signaler le rôle des réseaux sociaux via les nouvelles technologies avec sa capacité pour mettre en connexion les personnes au-delà des frontières. </w:t>
      </w:r>
      <w:r w:rsidR="00E653BB">
        <w:rPr>
          <w:sz w:val="24"/>
          <w:szCs w:val="24"/>
          <w:lang w:val="fr-FR"/>
        </w:rPr>
        <w:t xml:space="preserve">C’est le cas, par exemple, </w:t>
      </w:r>
      <w:r w:rsidR="00E653BB" w:rsidRPr="00E653BB">
        <w:rPr>
          <w:sz w:val="24"/>
          <w:szCs w:val="24"/>
          <w:lang w:val="fr-FR"/>
        </w:rPr>
        <w:t>C'est le cas, par exemple, de nombreuses pages de contacts gays</w:t>
      </w:r>
      <w:r w:rsidR="00E653BB">
        <w:rPr>
          <w:sz w:val="24"/>
          <w:szCs w:val="24"/>
          <w:lang w:val="fr-FR"/>
        </w:rPr>
        <w:t>.</w:t>
      </w:r>
    </w:p>
    <w:p w:rsidR="007C48F4" w:rsidRDefault="007042DE" w:rsidP="00122D62">
      <w:pPr>
        <w:spacing w:line="360" w:lineRule="auto"/>
        <w:ind w:firstLine="708"/>
        <w:jc w:val="both"/>
        <w:rPr>
          <w:sz w:val="24"/>
          <w:szCs w:val="24"/>
          <w:lang w:val="fr-FR"/>
        </w:rPr>
      </w:pPr>
      <w:r>
        <w:rPr>
          <w:sz w:val="24"/>
          <w:szCs w:val="24"/>
          <w:lang w:val="fr-FR"/>
        </w:rPr>
        <w:t xml:space="preserve">Quant au niveau d’études, </w:t>
      </w:r>
      <w:r w:rsidRPr="007042DE">
        <w:rPr>
          <w:sz w:val="24"/>
          <w:szCs w:val="24"/>
          <w:lang w:val="fr-FR"/>
        </w:rPr>
        <w:t>nous ne trouvons pas de</w:t>
      </w:r>
      <w:r>
        <w:rPr>
          <w:sz w:val="24"/>
          <w:szCs w:val="24"/>
          <w:lang w:val="fr-FR"/>
        </w:rPr>
        <w:t>s</w:t>
      </w:r>
      <w:r w:rsidRPr="007042DE">
        <w:rPr>
          <w:sz w:val="24"/>
          <w:szCs w:val="24"/>
          <w:lang w:val="fr-FR"/>
        </w:rPr>
        <w:t xml:space="preserve"> différences entre </w:t>
      </w:r>
      <w:r>
        <w:rPr>
          <w:sz w:val="24"/>
          <w:szCs w:val="24"/>
          <w:lang w:val="fr-FR"/>
        </w:rPr>
        <w:t>hommes et des femmes. L</w:t>
      </w:r>
      <w:r w:rsidRPr="007042DE">
        <w:rPr>
          <w:sz w:val="24"/>
          <w:szCs w:val="24"/>
          <w:lang w:val="fr-FR"/>
        </w:rPr>
        <w:t>es mariages homosexuels sont composés dans une grande proportion par des personnes a</w:t>
      </w:r>
      <w:r>
        <w:rPr>
          <w:sz w:val="24"/>
          <w:szCs w:val="24"/>
          <w:lang w:val="fr-FR"/>
        </w:rPr>
        <w:t xml:space="preserve">vec un bon niveau d'instruction : 88% des conjoints ont, au moins, un diplôme de secondaire ; un sur trois a des études universitaires. </w:t>
      </w:r>
    </w:p>
    <w:p w:rsidR="008D512D" w:rsidRDefault="008D512D" w:rsidP="008D512D">
      <w:pPr>
        <w:rPr>
          <w:sz w:val="24"/>
          <w:szCs w:val="24"/>
          <w:lang w:val="fr-FR"/>
        </w:rPr>
      </w:pPr>
    </w:p>
    <w:p w:rsidR="008D512D" w:rsidRPr="008D512D" w:rsidRDefault="008D512D" w:rsidP="008D512D">
      <w:pPr>
        <w:rPr>
          <w:b/>
          <w:sz w:val="24"/>
          <w:szCs w:val="24"/>
          <w:lang w:val="fr-FR"/>
        </w:rPr>
      </w:pPr>
      <w:r w:rsidRPr="008D512D">
        <w:rPr>
          <w:b/>
          <w:sz w:val="24"/>
          <w:szCs w:val="24"/>
          <w:lang w:val="fr-FR"/>
        </w:rPr>
        <w:t>Quelques premières conclusions</w:t>
      </w:r>
    </w:p>
    <w:p w:rsidR="008D512D" w:rsidRPr="008D512D" w:rsidRDefault="008D512D" w:rsidP="008D512D">
      <w:pPr>
        <w:rPr>
          <w:sz w:val="24"/>
          <w:szCs w:val="24"/>
          <w:lang w:val="fr-FR"/>
        </w:rPr>
      </w:pPr>
    </w:p>
    <w:p w:rsidR="008D512D" w:rsidRPr="008D512D" w:rsidRDefault="00A81B2D" w:rsidP="00A8220F">
      <w:pPr>
        <w:spacing w:line="360" w:lineRule="auto"/>
        <w:jc w:val="both"/>
        <w:rPr>
          <w:sz w:val="24"/>
          <w:szCs w:val="24"/>
          <w:lang w:val="fr-FR"/>
        </w:rPr>
      </w:pPr>
      <w:r>
        <w:rPr>
          <w:sz w:val="24"/>
          <w:szCs w:val="24"/>
          <w:lang w:val="fr-FR"/>
        </w:rPr>
        <w:t xml:space="preserve">- </w:t>
      </w:r>
      <w:r w:rsidR="008D512D" w:rsidRPr="008D512D">
        <w:rPr>
          <w:sz w:val="24"/>
          <w:szCs w:val="24"/>
          <w:lang w:val="fr-FR"/>
        </w:rPr>
        <w:t xml:space="preserve">Dans un contexte spécialement difficile pour la société espagnole les dernières années, nous pouvons affirmer que dans ses 10 premières années de vie le mariage homosexuel a été consolidé comme un nouveau modèle de famille. Le parti principal dans la droite espagnole n'a pas eu une autre option qu'annuler la demande interposée devant le tribunal constitutionnel pour le refus du mariage pour tous. </w:t>
      </w:r>
    </w:p>
    <w:p w:rsidR="008D512D" w:rsidRPr="008D512D" w:rsidRDefault="00A81B2D" w:rsidP="00A8220F">
      <w:pPr>
        <w:spacing w:line="360" w:lineRule="auto"/>
        <w:jc w:val="both"/>
        <w:rPr>
          <w:sz w:val="24"/>
          <w:szCs w:val="24"/>
          <w:lang w:val="fr-FR"/>
        </w:rPr>
      </w:pPr>
      <w:r>
        <w:rPr>
          <w:sz w:val="24"/>
          <w:szCs w:val="24"/>
          <w:lang w:val="fr-FR"/>
        </w:rPr>
        <w:lastRenderedPageBreak/>
        <w:t xml:space="preserve">- </w:t>
      </w:r>
      <w:r w:rsidR="008D512D" w:rsidRPr="008D512D">
        <w:rPr>
          <w:sz w:val="24"/>
          <w:szCs w:val="24"/>
          <w:lang w:val="fr-FR"/>
        </w:rPr>
        <w:t>Il faut spécialement souligner l'évolution du mariage avec deux conjoints du sexe féminin : de représenter un pourcentage minoritaire dans les premières années, on  est passé à un équilibre de genre dans le couples du même sexe.</w:t>
      </w:r>
    </w:p>
    <w:p w:rsidR="008D512D" w:rsidRPr="008D512D" w:rsidRDefault="00A81B2D" w:rsidP="00A8220F">
      <w:pPr>
        <w:spacing w:line="360" w:lineRule="auto"/>
        <w:jc w:val="both"/>
        <w:rPr>
          <w:sz w:val="24"/>
          <w:szCs w:val="24"/>
          <w:lang w:val="fr-FR"/>
        </w:rPr>
      </w:pPr>
      <w:r>
        <w:rPr>
          <w:sz w:val="24"/>
          <w:szCs w:val="24"/>
          <w:lang w:val="fr-FR"/>
        </w:rPr>
        <w:t xml:space="preserve">- </w:t>
      </w:r>
      <w:r w:rsidR="008D512D" w:rsidRPr="008D512D">
        <w:rPr>
          <w:sz w:val="24"/>
          <w:szCs w:val="24"/>
          <w:lang w:val="fr-FR"/>
        </w:rPr>
        <w:t>Cependant, malgré cette consolidation, nous ne pouvons pas affirmer que le mariage homosexuel est une réalité très étendue sur la géographie espagnole : la distribution spatiale est très inégale, avec des provinces, notamment à l'intérieur de l'Espagne, dans lesquelles le mariage égalitaire est excessivement minoritaire. La plus grande présence se localise à la Méditerranée littorale, dans les îles espagnoles et à Madrid. Comme c'était d'attendre, il s'agit surtout d'une population urbaine, dans des villes grandes et intermédiaires.</w:t>
      </w:r>
    </w:p>
    <w:p w:rsidR="008D512D" w:rsidRPr="008D512D" w:rsidRDefault="00A81B2D" w:rsidP="00A8220F">
      <w:pPr>
        <w:spacing w:line="360" w:lineRule="auto"/>
        <w:jc w:val="both"/>
        <w:rPr>
          <w:sz w:val="24"/>
          <w:szCs w:val="24"/>
          <w:lang w:val="fr-FR"/>
        </w:rPr>
      </w:pPr>
      <w:r>
        <w:rPr>
          <w:sz w:val="24"/>
          <w:szCs w:val="24"/>
          <w:lang w:val="fr-FR"/>
        </w:rPr>
        <w:t xml:space="preserve">- </w:t>
      </w:r>
      <w:r w:rsidR="008D512D">
        <w:rPr>
          <w:sz w:val="24"/>
          <w:szCs w:val="24"/>
          <w:lang w:val="fr-FR"/>
        </w:rPr>
        <w:t xml:space="preserve">L’information du recensement confirme la jeunesse, mais souvent en transition vers l’âge mûr, des couples homosexuels. </w:t>
      </w:r>
      <w:r w:rsidR="008D512D" w:rsidRPr="00303E4A">
        <w:rPr>
          <w:sz w:val="24"/>
          <w:szCs w:val="24"/>
          <w:lang w:val="fr-FR"/>
        </w:rPr>
        <w:t xml:space="preserve">Une donnée surprenante du recensement de population est le </w:t>
      </w:r>
      <w:r w:rsidR="008D512D">
        <w:rPr>
          <w:sz w:val="24"/>
          <w:szCs w:val="24"/>
          <w:lang w:val="fr-FR"/>
        </w:rPr>
        <w:t xml:space="preserve">pourcentage des couples </w:t>
      </w:r>
      <w:r w:rsidR="008D512D" w:rsidRPr="00303E4A">
        <w:rPr>
          <w:sz w:val="24"/>
          <w:szCs w:val="24"/>
          <w:lang w:val="fr-FR"/>
        </w:rPr>
        <w:t xml:space="preserve">mixtes dans le mariage homosexuel en </w:t>
      </w:r>
      <w:r w:rsidR="008D512D">
        <w:rPr>
          <w:sz w:val="24"/>
          <w:szCs w:val="24"/>
          <w:lang w:val="fr-FR"/>
        </w:rPr>
        <w:t>Espagne. L</w:t>
      </w:r>
      <w:r w:rsidR="008D512D" w:rsidRPr="007042DE">
        <w:rPr>
          <w:sz w:val="24"/>
          <w:szCs w:val="24"/>
          <w:lang w:val="fr-FR"/>
        </w:rPr>
        <w:t>es mariages homosexuels sont composés dans une grande proportion par des personnes a</w:t>
      </w:r>
      <w:r w:rsidR="008D512D">
        <w:rPr>
          <w:sz w:val="24"/>
          <w:szCs w:val="24"/>
          <w:lang w:val="fr-FR"/>
        </w:rPr>
        <w:t>vec un bon niveau d'instruction </w:t>
      </w:r>
    </w:p>
    <w:p w:rsidR="008D512D" w:rsidRPr="008D512D" w:rsidRDefault="008D512D" w:rsidP="00A8220F">
      <w:pPr>
        <w:spacing w:line="360" w:lineRule="auto"/>
        <w:jc w:val="both"/>
        <w:rPr>
          <w:sz w:val="24"/>
          <w:szCs w:val="24"/>
          <w:lang w:val="fr-FR"/>
        </w:rPr>
      </w:pPr>
    </w:p>
    <w:p w:rsidR="00C1587B" w:rsidRPr="008D512D" w:rsidRDefault="00C1587B" w:rsidP="00A8220F">
      <w:pPr>
        <w:spacing w:line="360" w:lineRule="auto"/>
        <w:jc w:val="both"/>
        <w:rPr>
          <w:sz w:val="24"/>
          <w:szCs w:val="24"/>
          <w:lang w:val="fr-FR"/>
        </w:rPr>
      </w:pPr>
    </w:p>
    <w:p w:rsidR="007042DE" w:rsidRPr="008D512D" w:rsidRDefault="007042DE" w:rsidP="00A8220F">
      <w:pPr>
        <w:spacing w:line="360" w:lineRule="auto"/>
        <w:jc w:val="both"/>
        <w:rPr>
          <w:sz w:val="24"/>
          <w:szCs w:val="24"/>
          <w:lang w:val="fr-FR"/>
        </w:rPr>
      </w:pPr>
    </w:p>
    <w:p w:rsidR="000A6B6F" w:rsidRPr="008D512D" w:rsidRDefault="000A6B6F" w:rsidP="00A8220F">
      <w:pPr>
        <w:spacing w:line="360" w:lineRule="auto"/>
        <w:ind w:firstLine="708"/>
        <w:jc w:val="both"/>
        <w:rPr>
          <w:sz w:val="24"/>
          <w:szCs w:val="24"/>
          <w:lang w:val="fr-FR"/>
        </w:rPr>
      </w:pPr>
    </w:p>
    <w:p w:rsidR="00197070" w:rsidRPr="008D512D" w:rsidRDefault="00197070" w:rsidP="00A8220F">
      <w:pPr>
        <w:spacing w:line="360" w:lineRule="auto"/>
        <w:ind w:firstLine="708"/>
        <w:jc w:val="both"/>
        <w:rPr>
          <w:sz w:val="24"/>
          <w:szCs w:val="24"/>
          <w:lang w:val="fr-FR"/>
        </w:rPr>
      </w:pPr>
    </w:p>
    <w:p w:rsidR="00BD09F3" w:rsidRPr="008D512D" w:rsidRDefault="00BD09F3" w:rsidP="00A8220F">
      <w:pPr>
        <w:spacing w:line="360" w:lineRule="auto"/>
        <w:jc w:val="both"/>
        <w:rPr>
          <w:sz w:val="24"/>
          <w:szCs w:val="24"/>
          <w:lang w:val="fr-FR"/>
        </w:rPr>
      </w:pPr>
    </w:p>
    <w:sectPr w:rsidR="00BD09F3" w:rsidRPr="008D512D" w:rsidSect="0048155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9A7" w:rsidRDefault="009519A7" w:rsidP="00B75009">
      <w:pPr>
        <w:spacing w:after="0" w:line="240" w:lineRule="auto"/>
      </w:pPr>
      <w:r>
        <w:separator/>
      </w:r>
    </w:p>
  </w:endnote>
  <w:endnote w:type="continuationSeparator" w:id="0">
    <w:p w:rsidR="009519A7" w:rsidRDefault="009519A7" w:rsidP="00B75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091001"/>
      <w:docPartObj>
        <w:docPartGallery w:val="Page Numbers (Bottom of Page)"/>
        <w:docPartUnique/>
      </w:docPartObj>
    </w:sdtPr>
    <w:sdtContent>
      <w:p w:rsidR="00137F05" w:rsidRDefault="00FD32DC">
        <w:pPr>
          <w:pStyle w:val="Piedepgina"/>
          <w:jc w:val="right"/>
        </w:pPr>
        <w:fldSimple w:instr=" PAGE   \* MERGEFORMAT ">
          <w:r w:rsidR="00A81B2D">
            <w:rPr>
              <w:noProof/>
            </w:rPr>
            <w:t>14</w:t>
          </w:r>
        </w:fldSimple>
      </w:p>
    </w:sdtContent>
  </w:sdt>
  <w:p w:rsidR="00137F05" w:rsidRDefault="00137F0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9A7" w:rsidRDefault="009519A7" w:rsidP="00B75009">
      <w:pPr>
        <w:spacing w:after="0" w:line="240" w:lineRule="auto"/>
      </w:pPr>
      <w:r>
        <w:separator/>
      </w:r>
    </w:p>
  </w:footnote>
  <w:footnote w:type="continuationSeparator" w:id="0">
    <w:p w:rsidR="009519A7" w:rsidRDefault="009519A7" w:rsidP="00B750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footnotePr>
    <w:footnote w:id="-1"/>
    <w:footnote w:id="0"/>
  </w:footnotePr>
  <w:endnotePr>
    <w:endnote w:id="-1"/>
    <w:endnote w:id="0"/>
  </w:endnotePr>
  <w:compat/>
  <w:rsids>
    <w:rsidRoot w:val="00C16D5A"/>
    <w:rsid w:val="0000108E"/>
    <w:rsid w:val="00005BEF"/>
    <w:rsid w:val="00007A6F"/>
    <w:rsid w:val="00007DA2"/>
    <w:rsid w:val="00016682"/>
    <w:rsid w:val="00026213"/>
    <w:rsid w:val="000268DE"/>
    <w:rsid w:val="00027DEA"/>
    <w:rsid w:val="000337AD"/>
    <w:rsid w:val="00042C1A"/>
    <w:rsid w:val="00050158"/>
    <w:rsid w:val="000508DF"/>
    <w:rsid w:val="000517D8"/>
    <w:rsid w:val="0005412C"/>
    <w:rsid w:val="00057FFD"/>
    <w:rsid w:val="000616FA"/>
    <w:rsid w:val="00064B8D"/>
    <w:rsid w:val="0006642A"/>
    <w:rsid w:val="0006678C"/>
    <w:rsid w:val="00070A51"/>
    <w:rsid w:val="000732F3"/>
    <w:rsid w:val="00080E5E"/>
    <w:rsid w:val="00081B5E"/>
    <w:rsid w:val="00087D2D"/>
    <w:rsid w:val="00095C33"/>
    <w:rsid w:val="000A4AE1"/>
    <w:rsid w:val="000A607B"/>
    <w:rsid w:val="000A6B6F"/>
    <w:rsid w:val="000C305E"/>
    <w:rsid w:val="000C3584"/>
    <w:rsid w:val="000C7169"/>
    <w:rsid w:val="000D7485"/>
    <w:rsid w:val="000E78CD"/>
    <w:rsid w:val="00102269"/>
    <w:rsid w:val="001154C5"/>
    <w:rsid w:val="00115723"/>
    <w:rsid w:val="00122D62"/>
    <w:rsid w:val="00122EC2"/>
    <w:rsid w:val="00126E1E"/>
    <w:rsid w:val="00130C2B"/>
    <w:rsid w:val="00136EE5"/>
    <w:rsid w:val="00137F05"/>
    <w:rsid w:val="001464CD"/>
    <w:rsid w:val="00151CE3"/>
    <w:rsid w:val="00153A50"/>
    <w:rsid w:val="001549B3"/>
    <w:rsid w:val="00155EF3"/>
    <w:rsid w:val="0016093A"/>
    <w:rsid w:val="00161616"/>
    <w:rsid w:val="00161AB2"/>
    <w:rsid w:val="001751D8"/>
    <w:rsid w:val="001810EC"/>
    <w:rsid w:val="00181CEE"/>
    <w:rsid w:val="0019199B"/>
    <w:rsid w:val="00194BF7"/>
    <w:rsid w:val="00196DBD"/>
    <w:rsid w:val="00197070"/>
    <w:rsid w:val="001B008A"/>
    <w:rsid w:val="001B4E51"/>
    <w:rsid w:val="001C0428"/>
    <w:rsid w:val="001C2AF7"/>
    <w:rsid w:val="001C482F"/>
    <w:rsid w:val="001E4768"/>
    <w:rsid w:val="001F026A"/>
    <w:rsid w:val="001F04EE"/>
    <w:rsid w:val="001F0666"/>
    <w:rsid w:val="001F2902"/>
    <w:rsid w:val="001F5E0F"/>
    <w:rsid w:val="002062C9"/>
    <w:rsid w:val="00206FF5"/>
    <w:rsid w:val="00221614"/>
    <w:rsid w:val="00226C4A"/>
    <w:rsid w:val="0023221B"/>
    <w:rsid w:val="00240B2B"/>
    <w:rsid w:val="00247488"/>
    <w:rsid w:val="0025183C"/>
    <w:rsid w:val="0025426E"/>
    <w:rsid w:val="00257D01"/>
    <w:rsid w:val="002611B4"/>
    <w:rsid w:val="0027209D"/>
    <w:rsid w:val="00287498"/>
    <w:rsid w:val="002A1985"/>
    <w:rsid w:val="002A5F6D"/>
    <w:rsid w:val="002B7A3A"/>
    <w:rsid w:val="002C5D95"/>
    <w:rsid w:val="002C7578"/>
    <w:rsid w:val="002D19DB"/>
    <w:rsid w:val="002D5B37"/>
    <w:rsid w:val="002D6CC3"/>
    <w:rsid w:val="002D70FF"/>
    <w:rsid w:val="002D7BB3"/>
    <w:rsid w:val="002E46FB"/>
    <w:rsid w:val="002E595D"/>
    <w:rsid w:val="002F6F2A"/>
    <w:rsid w:val="00303E4A"/>
    <w:rsid w:val="00304D37"/>
    <w:rsid w:val="003077EB"/>
    <w:rsid w:val="003128AF"/>
    <w:rsid w:val="003235E5"/>
    <w:rsid w:val="00324E30"/>
    <w:rsid w:val="003305D3"/>
    <w:rsid w:val="00332B46"/>
    <w:rsid w:val="00333E7F"/>
    <w:rsid w:val="00334902"/>
    <w:rsid w:val="00334FEB"/>
    <w:rsid w:val="003459BD"/>
    <w:rsid w:val="003504F8"/>
    <w:rsid w:val="00352BA8"/>
    <w:rsid w:val="00354E20"/>
    <w:rsid w:val="0036223F"/>
    <w:rsid w:val="00367152"/>
    <w:rsid w:val="00371900"/>
    <w:rsid w:val="0037212A"/>
    <w:rsid w:val="00372AB2"/>
    <w:rsid w:val="00373477"/>
    <w:rsid w:val="00374889"/>
    <w:rsid w:val="00380A6A"/>
    <w:rsid w:val="0038222F"/>
    <w:rsid w:val="00386067"/>
    <w:rsid w:val="00386CE9"/>
    <w:rsid w:val="003A2842"/>
    <w:rsid w:val="003A595A"/>
    <w:rsid w:val="003B0A09"/>
    <w:rsid w:val="003B3DAB"/>
    <w:rsid w:val="003B77EA"/>
    <w:rsid w:val="003C0277"/>
    <w:rsid w:val="003C10C0"/>
    <w:rsid w:val="003C3466"/>
    <w:rsid w:val="003C6304"/>
    <w:rsid w:val="003C65C2"/>
    <w:rsid w:val="003D2A3A"/>
    <w:rsid w:val="003D70DB"/>
    <w:rsid w:val="003D7AD3"/>
    <w:rsid w:val="003E3C8F"/>
    <w:rsid w:val="003E5CA7"/>
    <w:rsid w:val="003E6083"/>
    <w:rsid w:val="003F11D4"/>
    <w:rsid w:val="003F2BE9"/>
    <w:rsid w:val="003F54D9"/>
    <w:rsid w:val="003F730E"/>
    <w:rsid w:val="00402010"/>
    <w:rsid w:val="00422E5E"/>
    <w:rsid w:val="00423BBE"/>
    <w:rsid w:val="00423DCC"/>
    <w:rsid w:val="00426849"/>
    <w:rsid w:val="00430F0A"/>
    <w:rsid w:val="00431BDD"/>
    <w:rsid w:val="004321F2"/>
    <w:rsid w:val="00436AAF"/>
    <w:rsid w:val="00436FFD"/>
    <w:rsid w:val="004469C5"/>
    <w:rsid w:val="00447233"/>
    <w:rsid w:val="004563F6"/>
    <w:rsid w:val="004632F2"/>
    <w:rsid w:val="004645C2"/>
    <w:rsid w:val="004646AB"/>
    <w:rsid w:val="00470556"/>
    <w:rsid w:val="004768E7"/>
    <w:rsid w:val="004805AF"/>
    <w:rsid w:val="00481552"/>
    <w:rsid w:val="00482E66"/>
    <w:rsid w:val="00484C91"/>
    <w:rsid w:val="00490712"/>
    <w:rsid w:val="0049591C"/>
    <w:rsid w:val="004B2A91"/>
    <w:rsid w:val="004C7AE5"/>
    <w:rsid w:val="004D25EF"/>
    <w:rsid w:val="004D2632"/>
    <w:rsid w:val="004D5BA9"/>
    <w:rsid w:val="004D5FF3"/>
    <w:rsid w:val="004E4C7C"/>
    <w:rsid w:val="004E7658"/>
    <w:rsid w:val="004F15EC"/>
    <w:rsid w:val="004F1F88"/>
    <w:rsid w:val="004F233D"/>
    <w:rsid w:val="005002BD"/>
    <w:rsid w:val="005044C1"/>
    <w:rsid w:val="00531095"/>
    <w:rsid w:val="005324DF"/>
    <w:rsid w:val="00547FDB"/>
    <w:rsid w:val="00552E0D"/>
    <w:rsid w:val="0056389C"/>
    <w:rsid w:val="00566ABD"/>
    <w:rsid w:val="0057195F"/>
    <w:rsid w:val="0057625C"/>
    <w:rsid w:val="005768CA"/>
    <w:rsid w:val="005777F9"/>
    <w:rsid w:val="00582FB3"/>
    <w:rsid w:val="0059093D"/>
    <w:rsid w:val="00597BDC"/>
    <w:rsid w:val="005A05CD"/>
    <w:rsid w:val="005A0930"/>
    <w:rsid w:val="005B413F"/>
    <w:rsid w:val="005C198D"/>
    <w:rsid w:val="005C7EE5"/>
    <w:rsid w:val="005D465C"/>
    <w:rsid w:val="005E056A"/>
    <w:rsid w:val="005E1262"/>
    <w:rsid w:val="005F4A5B"/>
    <w:rsid w:val="005F7F7E"/>
    <w:rsid w:val="00600005"/>
    <w:rsid w:val="0060323A"/>
    <w:rsid w:val="00604C4F"/>
    <w:rsid w:val="0060570F"/>
    <w:rsid w:val="00606029"/>
    <w:rsid w:val="00607034"/>
    <w:rsid w:val="00623CC8"/>
    <w:rsid w:val="006273DD"/>
    <w:rsid w:val="00630D74"/>
    <w:rsid w:val="00641F72"/>
    <w:rsid w:val="00642209"/>
    <w:rsid w:val="00642819"/>
    <w:rsid w:val="00643CB0"/>
    <w:rsid w:val="0064677F"/>
    <w:rsid w:val="006625D8"/>
    <w:rsid w:val="00675289"/>
    <w:rsid w:val="00675EDA"/>
    <w:rsid w:val="00677477"/>
    <w:rsid w:val="00685E06"/>
    <w:rsid w:val="00686E8E"/>
    <w:rsid w:val="0069038A"/>
    <w:rsid w:val="00691C0D"/>
    <w:rsid w:val="00692735"/>
    <w:rsid w:val="006A1ADF"/>
    <w:rsid w:val="006A4421"/>
    <w:rsid w:val="006A56B8"/>
    <w:rsid w:val="006B4DCB"/>
    <w:rsid w:val="006B79BA"/>
    <w:rsid w:val="006C6554"/>
    <w:rsid w:val="006C6E25"/>
    <w:rsid w:val="006D3978"/>
    <w:rsid w:val="006D4025"/>
    <w:rsid w:val="006D50CF"/>
    <w:rsid w:val="006F7270"/>
    <w:rsid w:val="00700079"/>
    <w:rsid w:val="007042DE"/>
    <w:rsid w:val="00717E3C"/>
    <w:rsid w:val="0072046E"/>
    <w:rsid w:val="00722B3B"/>
    <w:rsid w:val="00724589"/>
    <w:rsid w:val="00742BDD"/>
    <w:rsid w:val="00747DD1"/>
    <w:rsid w:val="00750222"/>
    <w:rsid w:val="00756986"/>
    <w:rsid w:val="00776148"/>
    <w:rsid w:val="0077622E"/>
    <w:rsid w:val="0077686B"/>
    <w:rsid w:val="007807A8"/>
    <w:rsid w:val="0078237C"/>
    <w:rsid w:val="007866CC"/>
    <w:rsid w:val="00787EE5"/>
    <w:rsid w:val="00791A4C"/>
    <w:rsid w:val="00793520"/>
    <w:rsid w:val="00794FFD"/>
    <w:rsid w:val="0079707C"/>
    <w:rsid w:val="007A0485"/>
    <w:rsid w:val="007B224B"/>
    <w:rsid w:val="007B60A3"/>
    <w:rsid w:val="007C48F4"/>
    <w:rsid w:val="007C5306"/>
    <w:rsid w:val="007C5C68"/>
    <w:rsid w:val="007C60BC"/>
    <w:rsid w:val="007D011F"/>
    <w:rsid w:val="007D35E7"/>
    <w:rsid w:val="007D784A"/>
    <w:rsid w:val="007E1B37"/>
    <w:rsid w:val="007E3A47"/>
    <w:rsid w:val="007E58D3"/>
    <w:rsid w:val="007F0529"/>
    <w:rsid w:val="007F42BC"/>
    <w:rsid w:val="007F62CB"/>
    <w:rsid w:val="00802949"/>
    <w:rsid w:val="00803875"/>
    <w:rsid w:val="00805044"/>
    <w:rsid w:val="008069E9"/>
    <w:rsid w:val="008108EE"/>
    <w:rsid w:val="0081258D"/>
    <w:rsid w:val="00814A69"/>
    <w:rsid w:val="00820EBE"/>
    <w:rsid w:val="00837EA4"/>
    <w:rsid w:val="00840D53"/>
    <w:rsid w:val="00843062"/>
    <w:rsid w:val="00844071"/>
    <w:rsid w:val="00844153"/>
    <w:rsid w:val="0084427C"/>
    <w:rsid w:val="0084530A"/>
    <w:rsid w:val="00855D7D"/>
    <w:rsid w:val="0086004D"/>
    <w:rsid w:val="00860C54"/>
    <w:rsid w:val="00863419"/>
    <w:rsid w:val="00872EFE"/>
    <w:rsid w:val="008778A6"/>
    <w:rsid w:val="00880ADF"/>
    <w:rsid w:val="00886D85"/>
    <w:rsid w:val="00887F35"/>
    <w:rsid w:val="0089141C"/>
    <w:rsid w:val="00891AF6"/>
    <w:rsid w:val="0089253E"/>
    <w:rsid w:val="00892690"/>
    <w:rsid w:val="008953F2"/>
    <w:rsid w:val="008A6BF1"/>
    <w:rsid w:val="008A789E"/>
    <w:rsid w:val="008B289B"/>
    <w:rsid w:val="008B32C7"/>
    <w:rsid w:val="008B74B9"/>
    <w:rsid w:val="008C3B74"/>
    <w:rsid w:val="008D512D"/>
    <w:rsid w:val="008D5374"/>
    <w:rsid w:val="008E6B85"/>
    <w:rsid w:val="008F3488"/>
    <w:rsid w:val="009003F7"/>
    <w:rsid w:val="00901857"/>
    <w:rsid w:val="00902635"/>
    <w:rsid w:val="009036FA"/>
    <w:rsid w:val="00904219"/>
    <w:rsid w:val="00904EA1"/>
    <w:rsid w:val="009115F0"/>
    <w:rsid w:val="00920012"/>
    <w:rsid w:val="0092234B"/>
    <w:rsid w:val="00923A4A"/>
    <w:rsid w:val="00926CA4"/>
    <w:rsid w:val="00933FA1"/>
    <w:rsid w:val="00942904"/>
    <w:rsid w:val="009519A7"/>
    <w:rsid w:val="009535AC"/>
    <w:rsid w:val="00954438"/>
    <w:rsid w:val="0097666A"/>
    <w:rsid w:val="00976B09"/>
    <w:rsid w:val="00991143"/>
    <w:rsid w:val="00994A46"/>
    <w:rsid w:val="00996EC6"/>
    <w:rsid w:val="009976C9"/>
    <w:rsid w:val="009B38A0"/>
    <w:rsid w:val="009B504C"/>
    <w:rsid w:val="009C1B94"/>
    <w:rsid w:val="009D0797"/>
    <w:rsid w:val="009D179D"/>
    <w:rsid w:val="009D3BD0"/>
    <w:rsid w:val="009D5583"/>
    <w:rsid w:val="009D6699"/>
    <w:rsid w:val="009E1269"/>
    <w:rsid w:val="009E72C4"/>
    <w:rsid w:val="009E7CBB"/>
    <w:rsid w:val="009F053C"/>
    <w:rsid w:val="009F5E0A"/>
    <w:rsid w:val="009F7F4C"/>
    <w:rsid w:val="00A01EE1"/>
    <w:rsid w:val="00A0677A"/>
    <w:rsid w:val="00A12F15"/>
    <w:rsid w:val="00A20BC9"/>
    <w:rsid w:val="00A21833"/>
    <w:rsid w:val="00A32E14"/>
    <w:rsid w:val="00A371BD"/>
    <w:rsid w:val="00A418A1"/>
    <w:rsid w:val="00A54558"/>
    <w:rsid w:val="00A70385"/>
    <w:rsid w:val="00A71E54"/>
    <w:rsid w:val="00A74D15"/>
    <w:rsid w:val="00A8070F"/>
    <w:rsid w:val="00A81160"/>
    <w:rsid w:val="00A81B2D"/>
    <w:rsid w:val="00A8220F"/>
    <w:rsid w:val="00A84911"/>
    <w:rsid w:val="00A9279F"/>
    <w:rsid w:val="00A92C98"/>
    <w:rsid w:val="00A95850"/>
    <w:rsid w:val="00AA4DF3"/>
    <w:rsid w:val="00AC2072"/>
    <w:rsid w:val="00AC2963"/>
    <w:rsid w:val="00AC4BAA"/>
    <w:rsid w:val="00AC5306"/>
    <w:rsid w:val="00AD2B6B"/>
    <w:rsid w:val="00AD3E93"/>
    <w:rsid w:val="00AE04D4"/>
    <w:rsid w:val="00AE0509"/>
    <w:rsid w:val="00AF5B2E"/>
    <w:rsid w:val="00B05BDA"/>
    <w:rsid w:val="00B14EC6"/>
    <w:rsid w:val="00B16D55"/>
    <w:rsid w:val="00B21588"/>
    <w:rsid w:val="00B21AA4"/>
    <w:rsid w:val="00B22320"/>
    <w:rsid w:val="00B240C0"/>
    <w:rsid w:val="00B30159"/>
    <w:rsid w:val="00B37B0A"/>
    <w:rsid w:val="00B466F3"/>
    <w:rsid w:val="00B52B88"/>
    <w:rsid w:val="00B67ABB"/>
    <w:rsid w:val="00B70CCF"/>
    <w:rsid w:val="00B75009"/>
    <w:rsid w:val="00B769DD"/>
    <w:rsid w:val="00B77C73"/>
    <w:rsid w:val="00B81AA1"/>
    <w:rsid w:val="00B86C92"/>
    <w:rsid w:val="00BB10EC"/>
    <w:rsid w:val="00BB7664"/>
    <w:rsid w:val="00BC1215"/>
    <w:rsid w:val="00BC3B12"/>
    <w:rsid w:val="00BC53C3"/>
    <w:rsid w:val="00BC5B48"/>
    <w:rsid w:val="00BD09F3"/>
    <w:rsid w:val="00BD3E3D"/>
    <w:rsid w:val="00BE32CD"/>
    <w:rsid w:val="00BE6B69"/>
    <w:rsid w:val="00BF0EF8"/>
    <w:rsid w:val="00BF75A0"/>
    <w:rsid w:val="00C0429E"/>
    <w:rsid w:val="00C047BB"/>
    <w:rsid w:val="00C07179"/>
    <w:rsid w:val="00C1587B"/>
    <w:rsid w:val="00C16D5A"/>
    <w:rsid w:val="00C200B4"/>
    <w:rsid w:val="00C20CA8"/>
    <w:rsid w:val="00C23686"/>
    <w:rsid w:val="00C247F0"/>
    <w:rsid w:val="00C251A8"/>
    <w:rsid w:val="00C37EF9"/>
    <w:rsid w:val="00C52CAC"/>
    <w:rsid w:val="00C54D57"/>
    <w:rsid w:val="00C620CB"/>
    <w:rsid w:val="00C64924"/>
    <w:rsid w:val="00C76FEF"/>
    <w:rsid w:val="00C81BE1"/>
    <w:rsid w:val="00C84FFD"/>
    <w:rsid w:val="00C872E0"/>
    <w:rsid w:val="00C930DE"/>
    <w:rsid w:val="00CA0C4A"/>
    <w:rsid w:val="00CA41D4"/>
    <w:rsid w:val="00CB43D7"/>
    <w:rsid w:val="00CB6E37"/>
    <w:rsid w:val="00CC2B71"/>
    <w:rsid w:val="00CD036D"/>
    <w:rsid w:val="00CD197A"/>
    <w:rsid w:val="00CD3FCB"/>
    <w:rsid w:val="00CE15F7"/>
    <w:rsid w:val="00CF0015"/>
    <w:rsid w:val="00CF4426"/>
    <w:rsid w:val="00D025BF"/>
    <w:rsid w:val="00D07813"/>
    <w:rsid w:val="00D11E86"/>
    <w:rsid w:val="00D220C0"/>
    <w:rsid w:val="00D264EA"/>
    <w:rsid w:val="00D304A9"/>
    <w:rsid w:val="00D35088"/>
    <w:rsid w:val="00D40250"/>
    <w:rsid w:val="00D44006"/>
    <w:rsid w:val="00D4591D"/>
    <w:rsid w:val="00D52043"/>
    <w:rsid w:val="00D54E90"/>
    <w:rsid w:val="00D57AFA"/>
    <w:rsid w:val="00D67470"/>
    <w:rsid w:val="00D7169D"/>
    <w:rsid w:val="00D734F2"/>
    <w:rsid w:val="00D76DC8"/>
    <w:rsid w:val="00D86EEA"/>
    <w:rsid w:val="00D92B5E"/>
    <w:rsid w:val="00D955F8"/>
    <w:rsid w:val="00DA113C"/>
    <w:rsid w:val="00DB45DD"/>
    <w:rsid w:val="00DC4094"/>
    <w:rsid w:val="00DD6B42"/>
    <w:rsid w:val="00DE0C63"/>
    <w:rsid w:val="00DF028F"/>
    <w:rsid w:val="00DF6D5A"/>
    <w:rsid w:val="00E01696"/>
    <w:rsid w:val="00E02118"/>
    <w:rsid w:val="00E02BCA"/>
    <w:rsid w:val="00E12636"/>
    <w:rsid w:val="00E13B0D"/>
    <w:rsid w:val="00E17E51"/>
    <w:rsid w:val="00E27E72"/>
    <w:rsid w:val="00E36AFE"/>
    <w:rsid w:val="00E36D8B"/>
    <w:rsid w:val="00E4483F"/>
    <w:rsid w:val="00E61460"/>
    <w:rsid w:val="00E64B24"/>
    <w:rsid w:val="00E65289"/>
    <w:rsid w:val="00E653BB"/>
    <w:rsid w:val="00E678D7"/>
    <w:rsid w:val="00E714A4"/>
    <w:rsid w:val="00E77138"/>
    <w:rsid w:val="00E80D24"/>
    <w:rsid w:val="00E85397"/>
    <w:rsid w:val="00E87B68"/>
    <w:rsid w:val="00E9170E"/>
    <w:rsid w:val="00EA09DC"/>
    <w:rsid w:val="00EB3510"/>
    <w:rsid w:val="00EC6760"/>
    <w:rsid w:val="00ED33C7"/>
    <w:rsid w:val="00ED4726"/>
    <w:rsid w:val="00ED7BA6"/>
    <w:rsid w:val="00EE1E7F"/>
    <w:rsid w:val="00EE4CB8"/>
    <w:rsid w:val="00EE4EE3"/>
    <w:rsid w:val="00EF6641"/>
    <w:rsid w:val="00EF768D"/>
    <w:rsid w:val="00F0439C"/>
    <w:rsid w:val="00F05D80"/>
    <w:rsid w:val="00F16B0A"/>
    <w:rsid w:val="00F305B7"/>
    <w:rsid w:val="00F30823"/>
    <w:rsid w:val="00F35558"/>
    <w:rsid w:val="00F3558A"/>
    <w:rsid w:val="00F438B7"/>
    <w:rsid w:val="00F47670"/>
    <w:rsid w:val="00F55586"/>
    <w:rsid w:val="00F57BDC"/>
    <w:rsid w:val="00F60C47"/>
    <w:rsid w:val="00F61590"/>
    <w:rsid w:val="00F64E5B"/>
    <w:rsid w:val="00F732BC"/>
    <w:rsid w:val="00F75286"/>
    <w:rsid w:val="00F81D14"/>
    <w:rsid w:val="00F9082F"/>
    <w:rsid w:val="00F94975"/>
    <w:rsid w:val="00F95199"/>
    <w:rsid w:val="00F9557D"/>
    <w:rsid w:val="00F95B27"/>
    <w:rsid w:val="00F964F4"/>
    <w:rsid w:val="00FA202D"/>
    <w:rsid w:val="00FB5447"/>
    <w:rsid w:val="00FB5CF7"/>
    <w:rsid w:val="00FC03C8"/>
    <w:rsid w:val="00FC5047"/>
    <w:rsid w:val="00FD32DC"/>
    <w:rsid w:val="00FD5F3D"/>
    <w:rsid w:val="00FE0B27"/>
    <w:rsid w:val="00FE13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5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70A51"/>
    <w:rPr>
      <w:color w:val="0000FF" w:themeColor="hyperlink"/>
      <w:u w:val="single"/>
    </w:rPr>
  </w:style>
  <w:style w:type="paragraph" w:styleId="Textodeglobo">
    <w:name w:val="Balloon Text"/>
    <w:basedOn w:val="Normal"/>
    <w:link w:val="TextodegloboCar"/>
    <w:uiPriority w:val="99"/>
    <w:semiHidden/>
    <w:unhideWhenUsed/>
    <w:rsid w:val="00B240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0C0"/>
    <w:rPr>
      <w:rFonts w:ascii="Tahoma" w:hAnsi="Tahoma" w:cs="Tahoma"/>
      <w:sz w:val="16"/>
      <w:szCs w:val="16"/>
    </w:rPr>
  </w:style>
  <w:style w:type="paragraph" w:styleId="NormalWeb">
    <w:name w:val="Normal (Web)"/>
    <w:basedOn w:val="Normal"/>
    <w:uiPriority w:val="99"/>
    <w:unhideWhenUsed/>
    <w:rsid w:val="006F727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B750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75009"/>
  </w:style>
  <w:style w:type="paragraph" w:styleId="Piedepgina">
    <w:name w:val="footer"/>
    <w:basedOn w:val="Normal"/>
    <w:link w:val="PiedepginaCar"/>
    <w:uiPriority w:val="99"/>
    <w:unhideWhenUsed/>
    <w:rsid w:val="00B750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5009"/>
  </w:style>
  <w:style w:type="character" w:styleId="Textoennegrita">
    <w:name w:val="Strong"/>
    <w:basedOn w:val="Fuentedeprrafopredeter"/>
    <w:uiPriority w:val="22"/>
    <w:qFormat/>
    <w:rsid w:val="007042DE"/>
    <w:rPr>
      <w:b/>
      <w:bCs/>
    </w:rPr>
  </w:style>
  <w:style w:type="character" w:customStyle="1" w:styleId="apple-converted-space">
    <w:name w:val="apple-converted-space"/>
    <w:basedOn w:val="Fuentedeprrafopredeter"/>
    <w:rsid w:val="007042DE"/>
  </w:style>
  <w:style w:type="paragraph" w:styleId="Prrafodelista">
    <w:name w:val="List Paragraph"/>
    <w:basedOn w:val="Normal"/>
    <w:uiPriority w:val="34"/>
    <w:qFormat/>
    <w:rsid w:val="00C1587B"/>
    <w:pPr>
      <w:ind w:left="720"/>
      <w:contextualSpacing/>
    </w:pPr>
  </w:style>
</w:styles>
</file>

<file path=word/webSettings.xml><?xml version="1.0" encoding="utf-8"?>
<w:webSettings xmlns:r="http://schemas.openxmlformats.org/officeDocument/2006/relationships" xmlns:w="http://schemas.openxmlformats.org/wordprocessingml/2006/main">
  <w:divs>
    <w:div w:id="495535655">
      <w:bodyDiv w:val="1"/>
      <w:marLeft w:val="0"/>
      <w:marRight w:val="0"/>
      <w:marTop w:val="0"/>
      <w:marBottom w:val="0"/>
      <w:divBdr>
        <w:top w:val="none" w:sz="0" w:space="0" w:color="auto"/>
        <w:left w:val="none" w:sz="0" w:space="0" w:color="auto"/>
        <w:bottom w:val="none" w:sz="0" w:space="0" w:color="auto"/>
        <w:right w:val="none" w:sz="0" w:space="0" w:color="auto"/>
      </w:divBdr>
    </w:div>
    <w:div w:id="1314795137">
      <w:bodyDiv w:val="1"/>
      <w:marLeft w:val="0"/>
      <w:marRight w:val="0"/>
      <w:marTop w:val="0"/>
      <w:marBottom w:val="0"/>
      <w:divBdr>
        <w:top w:val="none" w:sz="0" w:space="0" w:color="auto"/>
        <w:left w:val="none" w:sz="0" w:space="0" w:color="auto"/>
        <w:bottom w:val="none" w:sz="0" w:space="0" w:color="auto"/>
        <w:right w:val="none" w:sz="0" w:space="0" w:color="auto"/>
      </w:divBdr>
    </w:div>
    <w:div w:id="154429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BERTO\Dropbox\dossier%20aidelf\aidelf.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BERTO\Dropbox\dossier%20aidelf\aidelf.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LBERTO\Dropbox\dossier%20aidelf\aidelf.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LBERTO\Dropbox\dossier%20aidelf\edad%20homb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lineChart>
        <c:grouping val="standard"/>
        <c:ser>
          <c:idx val="0"/>
          <c:order val="0"/>
          <c:tx>
            <c:strRef>
              <c:f>total!$E$4</c:f>
              <c:strCache>
                <c:ptCount val="1"/>
                <c:pt idx="0">
                  <c:v>hommes</c:v>
                </c:pt>
              </c:strCache>
            </c:strRef>
          </c:tx>
          <c:cat>
            <c:numRef>
              <c:f>total!$A$5:$A$14</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total!$E$5:$E$14</c:f>
              <c:numCache>
                <c:formatCode>0.0</c:formatCode>
                <c:ptCount val="10"/>
                <c:pt idx="0">
                  <c:v>72.025216706067781</c:v>
                </c:pt>
                <c:pt idx="1">
                  <c:v>69.55715279387897</c:v>
                </c:pt>
                <c:pt idx="2">
                  <c:v>67.052928280613841</c:v>
                </c:pt>
                <c:pt idx="3">
                  <c:v>64.214151534126486</c:v>
                </c:pt>
                <c:pt idx="4">
                  <c:v>64.373783257624623</c:v>
                </c:pt>
                <c:pt idx="5">
                  <c:v>61.227685562167245</c:v>
                </c:pt>
                <c:pt idx="6">
                  <c:v>58.559322033898304</c:v>
                </c:pt>
                <c:pt idx="7">
                  <c:v>56.005788712011572</c:v>
                </c:pt>
                <c:pt idx="8">
                  <c:v>53.663301856072962</c:v>
                </c:pt>
                <c:pt idx="9">
                  <c:v>51.26717557251915</c:v>
                </c:pt>
              </c:numCache>
            </c:numRef>
          </c:val>
        </c:ser>
        <c:ser>
          <c:idx val="1"/>
          <c:order val="1"/>
          <c:tx>
            <c:strRef>
              <c:f>total!$F$4</c:f>
              <c:strCache>
                <c:ptCount val="1"/>
                <c:pt idx="0">
                  <c:v>femmes</c:v>
                </c:pt>
              </c:strCache>
            </c:strRef>
          </c:tx>
          <c:cat>
            <c:numRef>
              <c:f>total!$A$5:$A$14</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total!$F$5:$F$14</c:f>
              <c:numCache>
                <c:formatCode>0.0</c:formatCode>
                <c:ptCount val="10"/>
                <c:pt idx="0">
                  <c:v>27.974783293932184</c:v>
                </c:pt>
                <c:pt idx="1">
                  <c:v>30.442847206120963</c:v>
                </c:pt>
                <c:pt idx="2">
                  <c:v>32.947071719386052</c:v>
                </c:pt>
                <c:pt idx="3">
                  <c:v>35.78584846587345</c:v>
                </c:pt>
                <c:pt idx="4">
                  <c:v>35.626216742375213</c:v>
                </c:pt>
                <c:pt idx="5">
                  <c:v>38.772314437832762</c:v>
                </c:pt>
                <c:pt idx="6">
                  <c:v>41.440677966101696</c:v>
                </c:pt>
                <c:pt idx="7">
                  <c:v>43.994211287988421</c:v>
                </c:pt>
                <c:pt idx="8">
                  <c:v>46.336698143927059</c:v>
                </c:pt>
                <c:pt idx="9">
                  <c:v>48.732824427480914</c:v>
                </c:pt>
              </c:numCache>
            </c:numRef>
          </c:val>
        </c:ser>
        <c:marker val="1"/>
        <c:axId val="86189568"/>
        <c:axId val="86191104"/>
      </c:lineChart>
      <c:catAx>
        <c:axId val="86189568"/>
        <c:scaling>
          <c:orientation val="minMax"/>
        </c:scaling>
        <c:axPos val="b"/>
        <c:numFmt formatCode="General" sourceLinked="1"/>
        <c:tickLblPos val="nextTo"/>
        <c:crossAx val="86191104"/>
        <c:crosses val="autoZero"/>
        <c:auto val="1"/>
        <c:lblAlgn val="ctr"/>
        <c:lblOffset val="100"/>
      </c:catAx>
      <c:valAx>
        <c:axId val="86191104"/>
        <c:scaling>
          <c:orientation val="minMax"/>
        </c:scaling>
        <c:axPos val="l"/>
        <c:majorGridlines/>
        <c:numFmt formatCode="0.0" sourceLinked="1"/>
        <c:tickLblPos val="nextTo"/>
        <c:crossAx val="8618956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lineChart>
        <c:grouping val="standard"/>
        <c:ser>
          <c:idx val="0"/>
          <c:order val="0"/>
          <c:tx>
            <c:strRef>
              <c:f>total!$H$5</c:f>
              <c:strCache>
                <c:ptCount val="1"/>
                <c:pt idx="0">
                  <c:v>hommes</c:v>
                </c:pt>
              </c:strCache>
            </c:strRef>
          </c:tx>
          <c:marker>
            <c:symbol val="none"/>
          </c:marker>
          <c:cat>
            <c:strRef>
              <c:f>total!$G$6:$G$14</c:f>
              <c:strCache>
                <c:ptCount val="9"/>
                <c:pt idx="0">
                  <c:v>2005-2006</c:v>
                </c:pt>
                <c:pt idx="1">
                  <c:v>2006-2007</c:v>
                </c:pt>
                <c:pt idx="2">
                  <c:v>2007-2008</c:v>
                </c:pt>
                <c:pt idx="3">
                  <c:v>2008-2009</c:v>
                </c:pt>
                <c:pt idx="4">
                  <c:v>2009-2010</c:v>
                </c:pt>
                <c:pt idx="5">
                  <c:v>2010-2011</c:v>
                </c:pt>
                <c:pt idx="6">
                  <c:v>2011-2012</c:v>
                </c:pt>
                <c:pt idx="7">
                  <c:v>2012-2013</c:v>
                </c:pt>
                <c:pt idx="8">
                  <c:v>2013-2014</c:v>
                </c:pt>
              </c:strCache>
            </c:strRef>
          </c:cat>
          <c:val>
            <c:numRef>
              <c:f>total!$H$6:$H$14</c:f>
              <c:numCache>
                <c:formatCode>0.0</c:formatCode>
                <c:ptCount val="9"/>
                <c:pt idx="0">
                  <c:v>69.533333333333289</c:v>
                </c:pt>
                <c:pt idx="1">
                  <c:v>-40.121438580102762</c:v>
                </c:pt>
                <c:pt idx="2">
                  <c:v>-4.3881033642125793</c:v>
                </c:pt>
                <c:pt idx="3">
                  <c:v>-3.3770161290322567</c:v>
                </c:pt>
                <c:pt idx="4">
                  <c:v>-1.4833759590792839</c:v>
                </c:pt>
                <c:pt idx="5">
                  <c:v>5.6922334780511337</c:v>
                </c:pt>
                <c:pt idx="6">
                  <c:v>-7.1317829457364343</c:v>
                </c:pt>
                <c:pt idx="7">
                  <c:v>-17.415048543689295</c:v>
                </c:pt>
                <c:pt idx="8">
                  <c:v>1.8463371054198929</c:v>
                </c:pt>
              </c:numCache>
            </c:numRef>
          </c:val>
        </c:ser>
        <c:ser>
          <c:idx val="1"/>
          <c:order val="1"/>
          <c:tx>
            <c:strRef>
              <c:f>total!$I$5</c:f>
              <c:strCache>
                <c:ptCount val="1"/>
                <c:pt idx="0">
                  <c:v>femmes</c:v>
                </c:pt>
              </c:strCache>
            </c:strRef>
          </c:tx>
          <c:marker>
            <c:symbol val="none"/>
          </c:marker>
          <c:cat>
            <c:strRef>
              <c:f>total!$G$6:$G$14</c:f>
              <c:strCache>
                <c:ptCount val="9"/>
                <c:pt idx="0">
                  <c:v>2005-2006</c:v>
                </c:pt>
                <c:pt idx="1">
                  <c:v>2006-2007</c:v>
                </c:pt>
                <c:pt idx="2">
                  <c:v>2007-2008</c:v>
                </c:pt>
                <c:pt idx="3">
                  <c:v>2008-2009</c:v>
                </c:pt>
                <c:pt idx="4">
                  <c:v>2009-2010</c:v>
                </c:pt>
                <c:pt idx="5">
                  <c:v>2010-2011</c:v>
                </c:pt>
                <c:pt idx="6">
                  <c:v>2011-2012</c:v>
                </c:pt>
                <c:pt idx="7">
                  <c:v>2012-2013</c:v>
                </c:pt>
                <c:pt idx="8">
                  <c:v>2013-2014</c:v>
                </c:pt>
              </c:strCache>
            </c:strRef>
          </c:cat>
          <c:val>
            <c:numRef>
              <c:f>total!$I$6:$I$14</c:f>
              <c:numCache>
                <c:formatCode>0.0</c:formatCode>
                <c:ptCount val="9"/>
                <c:pt idx="0">
                  <c:v>72.96268088347297</c:v>
                </c:pt>
                <c:pt idx="1">
                  <c:v>-24.809885931558938</c:v>
                </c:pt>
                <c:pt idx="2">
                  <c:v>7.9615048118985063</c:v>
                </c:pt>
                <c:pt idx="3">
                  <c:v>-4.0983606557377064</c:v>
                </c:pt>
                <c:pt idx="4">
                  <c:v>11.308562197092083</c:v>
                </c:pt>
                <c:pt idx="5">
                  <c:v>15.610088616223585</c:v>
                </c:pt>
                <c:pt idx="6">
                  <c:v>3.4868421052631513</c:v>
                </c:pt>
                <c:pt idx="7">
                  <c:v>-6.8165846802529799</c:v>
                </c:pt>
                <c:pt idx="8">
                  <c:v>10.839598997493734</c:v>
                </c:pt>
              </c:numCache>
            </c:numRef>
          </c:val>
        </c:ser>
        <c:marker val="1"/>
        <c:axId val="86525440"/>
        <c:axId val="86655744"/>
      </c:lineChart>
      <c:catAx>
        <c:axId val="86525440"/>
        <c:scaling>
          <c:orientation val="minMax"/>
        </c:scaling>
        <c:axPos val="b"/>
        <c:numFmt formatCode="General" sourceLinked="1"/>
        <c:tickLblPos val="low"/>
        <c:crossAx val="86655744"/>
        <c:crosses val="autoZero"/>
        <c:auto val="1"/>
        <c:lblAlgn val="ctr"/>
        <c:lblOffset val="100"/>
      </c:catAx>
      <c:valAx>
        <c:axId val="86655744"/>
        <c:scaling>
          <c:orientation val="minMax"/>
        </c:scaling>
        <c:axPos val="l"/>
        <c:majorGridlines/>
        <c:numFmt formatCode="0.0" sourceLinked="1"/>
        <c:tickLblPos val="nextTo"/>
        <c:crossAx val="8652544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plotArea>
      <c:layout/>
      <c:lineChart>
        <c:grouping val="standard"/>
        <c:ser>
          <c:idx val="0"/>
          <c:order val="0"/>
          <c:tx>
            <c:strRef>
              <c:f>total!$D$120</c:f>
              <c:strCache>
                <c:ptCount val="1"/>
                <c:pt idx="0">
                  <c:v>homo</c:v>
                </c:pt>
              </c:strCache>
            </c:strRef>
          </c:tx>
          <c:marker>
            <c:symbol val="none"/>
          </c:marker>
          <c:cat>
            <c:numRef>
              <c:f>total!$A$121:$A$129</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total!$D$121:$D$129</c:f>
              <c:numCache>
                <c:formatCode>0.00</c:formatCode>
                <c:ptCount val="9"/>
                <c:pt idx="0">
                  <c:v>100</c:v>
                </c:pt>
                <c:pt idx="1">
                  <c:v>74.031996290285193</c:v>
                </c:pt>
                <c:pt idx="2">
                  <c:v>74.055182007882976</c:v>
                </c:pt>
                <c:pt idx="3">
                  <c:v>71.45838163691154</c:v>
                </c:pt>
                <c:pt idx="4">
                  <c:v>74.031996290285193</c:v>
                </c:pt>
                <c:pt idx="5">
                  <c:v>82.077440296777183</c:v>
                </c:pt>
                <c:pt idx="6">
                  <c:v>80.106654300950609</c:v>
                </c:pt>
                <c:pt idx="7">
                  <c:v>71.203338743334058</c:v>
                </c:pt>
                <c:pt idx="8">
                  <c:v>75.93322513331799</c:v>
                </c:pt>
              </c:numCache>
            </c:numRef>
          </c:val>
        </c:ser>
        <c:ser>
          <c:idx val="1"/>
          <c:order val="1"/>
          <c:tx>
            <c:strRef>
              <c:f>total!$E$120</c:f>
              <c:strCache>
                <c:ptCount val="1"/>
                <c:pt idx="0">
                  <c:v>hetero</c:v>
                </c:pt>
              </c:strCache>
            </c:strRef>
          </c:tx>
          <c:marker>
            <c:symbol val="none"/>
          </c:marker>
          <c:cat>
            <c:numRef>
              <c:f>total!$A$121:$A$129</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total!$E$121:$E$129</c:f>
              <c:numCache>
                <c:formatCode>0.00</c:formatCode>
                <c:ptCount val="9"/>
                <c:pt idx="0">
                  <c:v>100</c:v>
                </c:pt>
                <c:pt idx="1">
                  <c:v>99.078902744122658</c:v>
                </c:pt>
                <c:pt idx="2">
                  <c:v>95.364531365966585</c:v>
                </c:pt>
                <c:pt idx="3">
                  <c:v>85.553911714253388</c:v>
                </c:pt>
                <c:pt idx="4">
                  <c:v>82.20424373196775</c:v>
                </c:pt>
                <c:pt idx="5">
                  <c:v>78.542955866956959</c:v>
                </c:pt>
                <c:pt idx="6">
                  <c:v>81.149454665205411</c:v>
                </c:pt>
                <c:pt idx="7">
                  <c:v>75.385961376828874</c:v>
                </c:pt>
                <c:pt idx="8">
                  <c:v>78.287860095452032</c:v>
                </c:pt>
              </c:numCache>
            </c:numRef>
          </c:val>
        </c:ser>
        <c:marker val="1"/>
        <c:axId val="103954304"/>
        <c:axId val="103955840"/>
      </c:lineChart>
      <c:catAx>
        <c:axId val="103954304"/>
        <c:scaling>
          <c:orientation val="minMax"/>
        </c:scaling>
        <c:axPos val="b"/>
        <c:numFmt formatCode="General" sourceLinked="1"/>
        <c:tickLblPos val="nextTo"/>
        <c:crossAx val="103955840"/>
        <c:crosses val="autoZero"/>
        <c:auto val="1"/>
        <c:lblAlgn val="ctr"/>
        <c:lblOffset val="100"/>
      </c:catAx>
      <c:valAx>
        <c:axId val="103955840"/>
        <c:scaling>
          <c:orientation val="minMax"/>
          <c:min val="60"/>
        </c:scaling>
        <c:axPos val="l"/>
        <c:majorGridlines/>
        <c:numFmt formatCode="0.00" sourceLinked="1"/>
        <c:tickLblPos val="nextTo"/>
        <c:crossAx val="10395430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style val="1"/>
  <c:chart>
    <c:plotArea>
      <c:layout/>
      <c:barChart>
        <c:barDir val="bar"/>
        <c:grouping val="clustered"/>
        <c:ser>
          <c:idx val="0"/>
          <c:order val="0"/>
          <c:tx>
            <c:strRef>
              <c:f>Hoja1!$F$4</c:f>
              <c:strCache>
                <c:ptCount val="1"/>
                <c:pt idx="0">
                  <c:v>femmes</c:v>
                </c:pt>
              </c:strCache>
            </c:strRef>
          </c:tx>
          <c:cat>
            <c:strRef>
              <c:f>Hoja1!$A$5:$A$19</c:f>
              <c:strCache>
                <c:ptCount val="15"/>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80-84</c:v>
                </c:pt>
                <c:pt idx="14">
                  <c:v>85-89</c:v>
                </c:pt>
              </c:strCache>
            </c:strRef>
          </c:cat>
          <c:val>
            <c:numRef>
              <c:f>Hoja1!$F$5:$F$19</c:f>
              <c:numCache>
                <c:formatCode>0.00</c:formatCode>
                <c:ptCount val="15"/>
                <c:pt idx="0">
                  <c:v>0.13144922773578721</c:v>
                </c:pt>
                <c:pt idx="1">
                  <c:v>1.6431153466973381</c:v>
                </c:pt>
                <c:pt idx="2">
                  <c:v>10.187315149523487</c:v>
                </c:pt>
                <c:pt idx="3">
                  <c:v>18.402891883010184</c:v>
                </c:pt>
                <c:pt idx="4">
                  <c:v>19.914558001971727</c:v>
                </c:pt>
                <c:pt idx="5">
                  <c:v>15.54387117975681</c:v>
                </c:pt>
                <c:pt idx="6">
                  <c:v>13.407821229050278</c:v>
                </c:pt>
                <c:pt idx="7">
                  <c:v>8.051265198816953</c:v>
                </c:pt>
                <c:pt idx="8">
                  <c:v>4.173512980611239</c:v>
                </c:pt>
                <c:pt idx="9">
                  <c:v>3.3190930003286208</c:v>
                </c:pt>
                <c:pt idx="10">
                  <c:v>2.3003614853762731</c:v>
                </c:pt>
                <c:pt idx="11">
                  <c:v>1.3802168912257653</c:v>
                </c:pt>
                <c:pt idx="12">
                  <c:v>0.8872822872165621</c:v>
                </c:pt>
                <c:pt idx="13">
                  <c:v>0.32862306933946844</c:v>
                </c:pt>
                <c:pt idx="14">
                  <c:v>0.32862306933946844</c:v>
                </c:pt>
              </c:numCache>
            </c:numRef>
          </c:val>
        </c:ser>
        <c:ser>
          <c:idx val="1"/>
          <c:order val="1"/>
          <c:tx>
            <c:strRef>
              <c:f>Hoja1!$G$4</c:f>
              <c:strCache>
                <c:ptCount val="1"/>
                <c:pt idx="0">
                  <c:v>hommes</c:v>
                </c:pt>
              </c:strCache>
            </c:strRef>
          </c:tx>
          <c:cat>
            <c:strRef>
              <c:f>Hoja1!$A$5:$A$19</c:f>
              <c:strCache>
                <c:ptCount val="15"/>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80-84</c:v>
                </c:pt>
                <c:pt idx="14">
                  <c:v>85-89</c:v>
                </c:pt>
              </c:strCache>
            </c:strRef>
          </c:cat>
          <c:val>
            <c:numRef>
              <c:f>Hoja1!$G$5:$G$19</c:f>
              <c:numCache>
                <c:formatCode>0.00</c:formatCode>
                <c:ptCount val="15"/>
                <c:pt idx="0">
                  <c:v>-1.353912808015164E-2</c:v>
                </c:pt>
                <c:pt idx="1">
                  <c:v>-1.4757649607365286</c:v>
                </c:pt>
                <c:pt idx="2">
                  <c:v>-8.4484159220146182</c:v>
                </c:pt>
                <c:pt idx="3">
                  <c:v>-13.552667208231798</c:v>
                </c:pt>
                <c:pt idx="4">
                  <c:v>-14.121310587598149</c:v>
                </c:pt>
                <c:pt idx="5">
                  <c:v>-17.722718656918492</c:v>
                </c:pt>
                <c:pt idx="6">
                  <c:v>-17.316544814513929</c:v>
                </c:pt>
                <c:pt idx="7">
                  <c:v>-9.1659897102626715</c:v>
                </c:pt>
                <c:pt idx="8">
                  <c:v>-6.3092336853506747</c:v>
                </c:pt>
                <c:pt idx="9">
                  <c:v>-4.4679122664500337</c:v>
                </c:pt>
                <c:pt idx="10">
                  <c:v>-4.0211210398050365</c:v>
                </c:pt>
                <c:pt idx="11">
                  <c:v>-1.2862171676144061</c:v>
                </c:pt>
                <c:pt idx="12">
                  <c:v>-1.1508258868128891</c:v>
                </c:pt>
                <c:pt idx="13">
                  <c:v>-0.63633901976712703</c:v>
                </c:pt>
                <c:pt idx="14">
                  <c:v>-0.31139994584348801</c:v>
                </c:pt>
              </c:numCache>
            </c:numRef>
          </c:val>
        </c:ser>
        <c:gapWidth val="0"/>
        <c:overlap val="100"/>
        <c:axId val="109846528"/>
        <c:axId val="109848064"/>
      </c:barChart>
      <c:catAx>
        <c:axId val="109846528"/>
        <c:scaling>
          <c:orientation val="minMax"/>
        </c:scaling>
        <c:axPos val="l"/>
        <c:tickLblPos val="low"/>
        <c:crossAx val="109848064"/>
        <c:crosses val="autoZero"/>
        <c:auto val="1"/>
        <c:lblAlgn val="ctr"/>
        <c:lblOffset val="100"/>
      </c:catAx>
      <c:valAx>
        <c:axId val="109848064"/>
        <c:scaling>
          <c:orientation val="minMax"/>
        </c:scaling>
        <c:axPos val="b"/>
        <c:majorGridlines/>
        <c:numFmt formatCode="0;0" sourceLinked="0"/>
        <c:tickLblPos val="nextTo"/>
        <c:crossAx val="109846528"/>
        <c:crosses val="autoZero"/>
        <c:crossBetween val="between"/>
      </c:valAx>
    </c:plotArea>
    <c:legend>
      <c:legendPos val="b"/>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4468E-9D82-4911-A8E2-41FC8146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3491</Words>
  <Characters>19206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Antonio Cabello</cp:lastModifiedBy>
  <cp:revision>2</cp:revision>
  <dcterms:created xsi:type="dcterms:W3CDTF">2016-03-30T12:28:00Z</dcterms:created>
  <dcterms:modified xsi:type="dcterms:W3CDTF">2016-03-30T12:28:00Z</dcterms:modified>
</cp:coreProperties>
</file>