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0674B" w14:textId="77777777" w:rsidR="00711E98" w:rsidRPr="00711E98" w:rsidRDefault="00711E98" w:rsidP="00711E98">
      <w:pPr>
        <w:spacing w:line="240" w:lineRule="auto"/>
        <w:jc w:val="both"/>
        <w:rPr>
          <w:rFonts w:asciiTheme="majorHAnsi" w:hAnsiTheme="majorHAnsi"/>
          <w:b/>
          <w:sz w:val="24"/>
          <w:szCs w:val="24"/>
        </w:rPr>
      </w:pPr>
      <w:r w:rsidRPr="00711E98">
        <w:rPr>
          <w:rFonts w:asciiTheme="majorHAnsi" w:hAnsiTheme="majorHAnsi"/>
          <w:b/>
          <w:sz w:val="24"/>
          <w:szCs w:val="24"/>
        </w:rPr>
        <w:t>Quel impact de l’Union Européenne sur les réformes de politique familiale et sur les représentations et pratiques en Allemagne ?</w:t>
      </w:r>
    </w:p>
    <w:p w14:paraId="67C2A3A8" w14:textId="04F2269F" w:rsidR="00D507C0" w:rsidRPr="00E71F89" w:rsidRDefault="00D507C0" w:rsidP="00E71F89">
      <w:pPr>
        <w:pStyle w:val="Sansinterligne"/>
        <w:spacing w:after="120"/>
        <w:jc w:val="center"/>
        <w:rPr>
          <w:rFonts w:ascii="Cambria" w:hAnsi="Cambria"/>
          <w:b/>
          <w:sz w:val="24"/>
          <w:szCs w:val="24"/>
        </w:rPr>
      </w:pPr>
    </w:p>
    <w:p w14:paraId="310D5AB8" w14:textId="5ABEA6EE" w:rsidR="00D507C0" w:rsidRPr="00C964EB" w:rsidRDefault="00D507C0" w:rsidP="00E71F89">
      <w:pPr>
        <w:pStyle w:val="Sansinterligne"/>
        <w:spacing w:after="120"/>
        <w:jc w:val="both"/>
        <w:rPr>
          <w:rFonts w:asciiTheme="majorHAnsi" w:hAnsiTheme="majorHAnsi"/>
          <w:sz w:val="24"/>
          <w:szCs w:val="24"/>
        </w:rPr>
      </w:pPr>
      <w:r>
        <w:rPr>
          <w:rFonts w:ascii="Cambria" w:hAnsi="Cambria"/>
          <w:sz w:val="24"/>
          <w:szCs w:val="24"/>
        </w:rPr>
        <w:t>Anne Salles, Université Paris-Sorbonne</w:t>
      </w:r>
      <w:r w:rsidR="00C964EB">
        <w:rPr>
          <w:rFonts w:ascii="Cambria" w:hAnsi="Cambria"/>
          <w:sz w:val="24"/>
          <w:szCs w:val="24"/>
        </w:rPr>
        <w:t xml:space="preserve">, </w:t>
      </w:r>
      <w:r w:rsidR="00461D91">
        <w:rPr>
          <w:rFonts w:asciiTheme="majorHAnsi" w:hAnsiTheme="majorHAnsi"/>
          <w:sz w:val="24"/>
          <w:szCs w:val="24"/>
        </w:rPr>
        <w:t>INED</w:t>
      </w:r>
    </w:p>
    <w:p w14:paraId="685E13E4" w14:textId="77777777" w:rsidR="00D507C0" w:rsidRDefault="00D507C0" w:rsidP="00E71F89">
      <w:pPr>
        <w:pStyle w:val="Sansinterligne"/>
        <w:spacing w:after="120"/>
        <w:jc w:val="both"/>
        <w:rPr>
          <w:rFonts w:ascii="Cambria" w:hAnsi="Cambria"/>
          <w:sz w:val="24"/>
          <w:szCs w:val="24"/>
        </w:rPr>
      </w:pPr>
    </w:p>
    <w:p w14:paraId="7C2E03DE" w14:textId="77777777" w:rsidR="00D507C0" w:rsidRPr="001223FE" w:rsidRDefault="00D507C0" w:rsidP="00E71F89">
      <w:pPr>
        <w:pStyle w:val="Sansinterligne"/>
        <w:spacing w:after="120"/>
        <w:jc w:val="both"/>
        <w:rPr>
          <w:rFonts w:ascii="Cambria" w:hAnsi="Cambria"/>
          <w:b/>
          <w:sz w:val="24"/>
          <w:szCs w:val="24"/>
        </w:rPr>
      </w:pPr>
      <w:r w:rsidRPr="001223FE">
        <w:rPr>
          <w:rFonts w:ascii="Cambria" w:hAnsi="Cambria"/>
          <w:b/>
          <w:sz w:val="24"/>
          <w:szCs w:val="24"/>
        </w:rPr>
        <w:t>Introduction</w:t>
      </w:r>
    </w:p>
    <w:p w14:paraId="0C574706" w14:textId="77777777" w:rsidR="00D507C0" w:rsidRDefault="00D507C0" w:rsidP="00E71F89">
      <w:pPr>
        <w:pStyle w:val="Sansinterligne"/>
        <w:spacing w:after="120"/>
        <w:jc w:val="both"/>
        <w:rPr>
          <w:rFonts w:ascii="Cambria" w:hAnsi="Cambria"/>
          <w:sz w:val="24"/>
          <w:szCs w:val="24"/>
        </w:rPr>
      </w:pPr>
    </w:p>
    <w:p w14:paraId="0B4C6FE6" w14:textId="77777777" w:rsidR="00D507C0" w:rsidRDefault="00D507C0" w:rsidP="00E71F89">
      <w:pPr>
        <w:pStyle w:val="Sansinterligne"/>
        <w:spacing w:after="120"/>
        <w:jc w:val="both"/>
        <w:rPr>
          <w:rFonts w:ascii="Cambria" w:hAnsi="Cambria"/>
          <w:sz w:val="24"/>
          <w:szCs w:val="24"/>
        </w:rPr>
      </w:pPr>
    </w:p>
    <w:p w14:paraId="0E6D7F4F" w14:textId="77777777" w:rsidR="00D507C0" w:rsidRPr="00E71F89" w:rsidRDefault="00D507C0" w:rsidP="00E71F89">
      <w:pPr>
        <w:pStyle w:val="Sansinterligne"/>
        <w:spacing w:after="120"/>
        <w:jc w:val="both"/>
        <w:rPr>
          <w:rFonts w:ascii="Cambria" w:hAnsi="Cambria"/>
          <w:sz w:val="24"/>
          <w:szCs w:val="24"/>
        </w:rPr>
      </w:pPr>
      <w:r w:rsidRPr="00E71F89">
        <w:rPr>
          <w:rFonts w:ascii="Cambria" w:hAnsi="Cambria"/>
          <w:sz w:val="24"/>
          <w:szCs w:val="24"/>
        </w:rPr>
        <w:t>A l'occasion du sommet de Barcelone de 2002, l'Union Européenne a adopté des recommandations visant explicitement à renforcer les mesures en faveur d'une meilleure conciliation entre travail et famille.</w:t>
      </w:r>
      <w:r>
        <w:rPr>
          <w:rFonts w:ascii="Cambria" w:hAnsi="Cambria"/>
          <w:sz w:val="24"/>
          <w:szCs w:val="24"/>
        </w:rPr>
        <w:t xml:space="preserve"> Ces </w:t>
      </w:r>
      <w:r w:rsidRPr="00E71F89">
        <w:rPr>
          <w:rFonts w:ascii="Cambria" w:hAnsi="Cambria"/>
          <w:sz w:val="24"/>
          <w:szCs w:val="24"/>
        </w:rPr>
        <w:t>prises de position tranchent singulièrement avec l'orientation qu'a connue la politique familiale de la République Fédérale d'Allemagne depuis ses débuts.</w:t>
      </w:r>
      <w:r>
        <w:rPr>
          <w:rFonts w:ascii="Cambria" w:hAnsi="Cambria"/>
          <w:sz w:val="24"/>
          <w:szCs w:val="24"/>
        </w:rPr>
        <w:t xml:space="preserve"> </w:t>
      </w:r>
      <w:r w:rsidRPr="00E71F89">
        <w:rPr>
          <w:rFonts w:ascii="Cambria" w:hAnsi="Cambria"/>
          <w:sz w:val="24"/>
          <w:szCs w:val="24"/>
        </w:rPr>
        <w:t xml:space="preserve">Si certains pays en Europe, comme la France ou les pays scandinaves, </w:t>
      </w:r>
      <w:r>
        <w:rPr>
          <w:rFonts w:ascii="Cambria" w:hAnsi="Cambria"/>
          <w:sz w:val="24"/>
          <w:szCs w:val="24"/>
        </w:rPr>
        <w:t>partageaient alors déjà cette approche</w:t>
      </w:r>
      <w:r w:rsidRPr="00E71F89">
        <w:rPr>
          <w:rFonts w:ascii="Cambria" w:hAnsi="Cambria"/>
          <w:sz w:val="24"/>
          <w:szCs w:val="24"/>
        </w:rPr>
        <w:t>, tel n'</w:t>
      </w:r>
      <w:r>
        <w:rPr>
          <w:rFonts w:ascii="Cambria" w:hAnsi="Cambria"/>
          <w:sz w:val="24"/>
          <w:szCs w:val="24"/>
        </w:rPr>
        <w:t>était</w:t>
      </w:r>
      <w:r w:rsidRPr="00E71F89">
        <w:rPr>
          <w:rFonts w:ascii="Cambria" w:hAnsi="Cambria"/>
          <w:sz w:val="24"/>
          <w:szCs w:val="24"/>
        </w:rPr>
        <w:t xml:space="preserve"> pas le cas de l'Allemagne dont les institutions ont longtemps favorisé un modèle familial traditionnel caractérisé par une forte spécialisation des rôles.</w:t>
      </w:r>
    </w:p>
    <w:p w14:paraId="19B9A862" w14:textId="7B952D10" w:rsidR="00D507C0" w:rsidRPr="00E71F89" w:rsidRDefault="00D507C0" w:rsidP="00E71F89">
      <w:pPr>
        <w:pStyle w:val="Sansinterligne"/>
        <w:spacing w:after="120"/>
        <w:jc w:val="both"/>
        <w:rPr>
          <w:rFonts w:ascii="Cambria" w:hAnsi="Cambria"/>
          <w:sz w:val="24"/>
          <w:szCs w:val="24"/>
        </w:rPr>
      </w:pPr>
      <w:r w:rsidRPr="00E71F89">
        <w:rPr>
          <w:rFonts w:ascii="Cambria" w:hAnsi="Cambria"/>
          <w:sz w:val="24"/>
          <w:szCs w:val="24"/>
        </w:rPr>
        <w:t>Et pourtant, en Allemagne aussi, de nombreuses réformes ont été introduites depuis plusieurs années, afin d'améliorer les conditions de conciliation entre travail et famille, des réformes qui se réfèrent explicitement aux recommandations européennes. En d'autres termes, l'Allemagne adopte depuis peu des mesures prescriptives à l'égard des comportements, c'est-à-dire des mesures visant à inciter la population à évoluer dans ses représentations de la famille, de l'éducation des enfants et des rapports de genre</w:t>
      </w:r>
      <w:r>
        <w:rPr>
          <w:rFonts w:ascii="Cambria" w:hAnsi="Cambria"/>
          <w:sz w:val="24"/>
          <w:szCs w:val="24"/>
        </w:rPr>
        <w:t xml:space="preserve"> (Salles, </w:t>
      </w:r>
      <w:proofErr w:type="spellStart"/>
      <w:r>
        <w:rPr>
          <w:rFonts w:ascii="Cambria" w:hAnsi="Cambria"/>
          <w:sz w:val="24"/>
          <w:szCs w:val="24"/>
        </w:rPr>
        <w:t>Letablier</w:t>
      </w:r>
      <w:proofErr w:type="spellEnd"/>
      <w:r>
        <w:rPr>
          <w:rFonts w:ascii="Cambria" w:hAnsi="Cambria"/>
          <w:sz w:val="24"/>
          <w:szCs w:val="24"/>
        </w:rPr>
        <w:t xml:space="preserve"> 2013)</w:t>
      </w:r>
      <w:r w:rsidRPr="00E71F89">
        <w:rPr>
          <w:rFonts w:ascii="Cambria" w:hAnsi="Cambria"/>
          <w:sz w:val="24"/>
          <w:szCs w:val="24"/>
        </w:rPr>
        <w:t>. On peut par conséquent se demander quel succès des réformes peuvent rencontrer, dès lors qu'elles se heurtent à des traditions nationales différentes.</w:t>
      </w:r>
      <w:r w:rsidR="00461D91">
        <w:rPr>
          <w:rFonts w:ascii="Cambria" w:hAnsi="Cambria"/>
          <w:sz w:val="24"/>
          <w:szCs w:val="24"/>
        </w:rPr>
        <w:t xml:space="preserve"> </w:t>
      </w:r>
      <w:r w:rsidR="00461D91">
        <w:rPr>
          <w:rFonts w:ascii="Cambria" w:hAnsi="Cambria"/>
          <w:sz w:val="24"/>
          <w:szCs w:val="24"/>
        </w:rPr>
        <w:t>Se pose ainsi la question de savoir dans quelle mesure la réorientation de la politique familiale allemande peut, sous l’effet des recommandations européennes, induire un rapprochement avec d’autres pays européens, tels que la France.</w:t>
      </w:r>
    </w:p>
    <w:p w14:paraId="027D714D" w14:textId="5BFF5D96" w:rsidR="00D507C0" w:rsidRDefault="00D507C0" w:rsidP="00E71F89">
      <w:pPr>
        <w:pStyle w:val="Sansinterligne"/>
        <w:spacing w:after="120"/>
        <w:jc w:val="both"/>
        <w:rPr>
          <w:rFonts w:ascii="Cambria" w:hAnsi="Cambria"/>
          <w:sz w:val="24"/>
          <w:szCs w:val="24"/>
        </w:rPr>
      </w:pPr>
      <w:r w:rsidRPr="00E71F89">
        <w:rPr>
          <w:rFonts w:ascii="Cambria" w:hAnsi="Cambria"/>
          <w:sz w:val="24"/>
          <w:szCs w:val="24"/>
        </w:rPr>
        <w:t xml:space="preserve">Le propos de la présente étude est de cerner la place qu'occupent les recommandations européennes dans la réorientation qu'on a pu constater de la politique familiale allemande depuis plusieurs années et d'évaluer les résultats. </w:t>
      </w:r>
      <w:r w:rsidR="00461D91">
        <w:rPr>
          <w:rFonts w:ascii="Cambria" w:hAnsi="Cambria"/>
          <w:sz w:val="24"/>
          <w:szCs w:val="24"/>
        </w:rPr>
        <w:t>Les objectifs européens ont-ils été atteints ou sont-ils en voie de l’être ? Et observe-t-on des évolutions dans les pratiques et représentations en Allemagne, en particulier en termes de conciliation entre travail et famille ?</w:t>
      </w:r>
      <w:r w:rsidR="00461D91">
        <w:rPr>
          <w:rFonts w:ascii="Cambria" w:hAnsi="Cambria"/>
          <w:sz w:val="24"/>
          <w:szCs w:val="24"/>
        </w:rPr>
        <w:t xml:space="preserve"> </w:t>
      </w:r>
      <w:r w:rsidRPr="00E71F89">
        <w:rPr>
          <w:rFonts w:ascii="Cambria" w:hAnsi="Cambria"/>
          <w:sz w:val="24"/>
          <w:szCs w:val="24"/>
        </w:rPr>
        <w:t>Il s'agira ainsi d'étudier dans quelle mesure les comportements évoluent dans les deux parties du pays et de s'interroger sur l'émergence d'une identité, d'une culture européenne en Allemagne.</w:t>
      </w:r>
    </w:p>
    <w:p w14:paraId="21704535"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L'étude se propose de retracer dans un premier temps l'émergence d'une prise de position européenne sur la famille et les politiques familiales, afin de mieux cerner les objectifs que se fixe la commission dans ce domaine et les instruments mis en œuvre. Dans un second temps, il s'agira d'étudier en quoi le gouv</w:t>
      </w:r>
      <w:r w:rsidR="002A4872">
        <w:rPr>
          <w:rFonts w:ascii="Cambria" w:hAnsi="Cambria"/>
          <w:sz w:val="24"/>
          <w:szCs w:val="24"/>
        </w:rPr>
        <w:t>ernement allemand se rapproche</w:t>
      </w:r>
      <w:r>
        <w:rPr>
          <w:rFonts w:ascii="Cambria" w:hAnsi="Cambria"/>
          <w:sz w:val="24"/>
          <w:szCs w:val="24"/>
        </w:rPr>
        <w:t xml:space="preserve"> des positions européennes et cherche à intégrer ces nouveaux objectifs dans sa politique familiale. Pour finir, nous nous pencherons sur les résultats obtenus.</w:t>
      </w:r>
    </w:p>
    <w:p w14:paraId="6B1BB881" w14:textId="77777777" w:rsidR="00D507C0" w:rsidRDefault="00D507C0" w:rsidP="00E71F89">
      <w:pPr>
        <w:pStyle w:val="Sansinterligne"/>
        <w:spacing w:after="120"/>
        <w:jc w:val="both"/>
        <w:rPr>
          <w:rFonts w:ascii="Cambria" w:hAnsi="Cambria"/>
          <w:sz w:val="24"/>
          <w:szCs w:val="24"/>
        </w:rPr>
      </w:pPr>
    </w:p>
    <w:p w14:paraId="21820AD3" w14:textId="77777777" w:rsidR="00D507C0" w:rsidRPr="00E40752" w:rsidRDefault="00D507C0" w:rsidP="00E71F89">
      <w:pPr>
        <w:pStyle w:val="Sansinterligne"/>
        <w:spacing w:after="120"/>
        <w:jc w:val="both"/>
        <w:rPr>
          <w:rFonts w:ascii="Cambria" w:hAnsi="Cambria"/>
          <w:b/>
          <w:sz w:val="24"/>
          <w:szCs w:val="24"/>
        </w:rPr>
      </w:pPr>
      <w:r w:rsidRPr="00E40752">
        <w:rPr>
          <w:rFonts w:ascii="Cambria" w:hAnsi="Cambria"/>
          <w:b/>
          <w:sz w:val="24"/>
          <w:szCs w:val="24"/>
        </w:rPr>
        <w:t>I-L'émergence d'une intervention de l'Union Européenne dans les questions familiales</w:t>
      </w:r>
    </w:p>
    <w:p w14:paraId="14E6121A" w14:textId="77777777" w:rsidR="00D507C0" w:rsidRDefault="00D507C0" w:rsidP="00E71F89">
      <w:pPr>
        <w:pStyle w:val="Sansinterligne"/>
        <w:spacing w:after="120"/>
        <w:jc w:val="both"/>
        <w:rPr>
          <w:rFonts w:ascii="Cambria" w:hAnsi="Cambria"/>
          <w:sz w:val="24"/>
          <w:szCs w:val="24"/>
        </w:rPr>
      </w:pPr>
    </w:p>
    <w:p w14:paraId="595133EE" w14:textId="77777777" w:rsidR="00D507C0" w:rsidRPr="00365898" w:rsidRDefault="00D507C0" w:rsidP="00365898">
      <w:pPr>
        <w:pStyle w:val="Sansinterligne"/>
        <w:numPr>
          <w:ilvl w:val="0"/>
          <w:numId w:val="4"/>
        </w:numPr>
        <w:spacing w:after="120"/>
        <w:jc w:val="both"/>
        <w:rPr>
          <w:rFonts w:ascii="Cambria" w:hAnsi="Cambria"/>
          <w:b/>
          <w:sz w:val="24"/>
          <w:szCs w:val="24"/>
        </w:rPr>
      </w:pPr>
      <w:r w:rsidRPr="00365898">
        <w:rPr>
          <w:rFonts w:ascii="Cambria" w:hAnsi="Cambria"/>
          <w:b/>
          <w:sz w:val="24"/>
          <w:szCs w:val="24"/>
        </w:rPr>
        <w:t xml:space="preserve">Pourquoi l'UE s'intéresse-t-elle </w:t>
      </w:r>
      <w:r>
        <w:rPr>
          <w:rFonts w:ascii="Cambria" w:hAnsi="Cambria"/>
          <w:b/>
          <w:sz w:val="24"/>
          <w:szCs w:val="24"/>
        </w:rPr>
        <w:t>à la politique familiale</w:t>
      </w:r>
      <w:r w:rsidRPr="00365898">
        <w:rPr>
          <w:rFonts w:ascii="Cambria" w:hAnsi="Cambria"/>
          <w:b/>
          <w:sz w:val="24"/>
          <w:szCs w:val="24"/>
        </w:rPr>
        <w:t>?</w:t>
      </w:r>
    </w:p>
    <w:p w14:paraId="1B420C0D" w14:textId="77777777" w:rsidR="00D507C0" w:rsidRDefault="00D507C0" w:rsidP="00E71F89">
      <w:pPr>
        <w:pStyle w:val="Sansinterligne"/>
        <w:spacing w:after="120"/>
        <w:jc w:val="both"/>
        <w:rPr>
          <w:rFonts w:ascii="Cambria" w:hAnsi="Cambria"/>
          <w:sz w:val="24"/>
          <w:szCs w:val="24"/>
        </w:rPr>
      </w:pPr>
    </w:p>
    <w:p w14:paraId="4FD5195A"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Il est frappant de constater que, dans leurs études sur les politiques familiales en Europe, les chercheurs ne se réfèrent pratiquement jamais à l'Union Européenne. Ils comparent les politiques nationales entre elles, dressent des typologies mettant en lumière les diversités, voire les divergences de situation, suggérant par là l'absence d'harmonisation européenne dans ce domaine. L'Union Européenne semble le grand absent des questions familiales. Est-ce à dire que les institutions européennes ne s'en préoccupent pas, que l'Europe n'a aucun impact dans ce domaine?</w:t>
      </w:r>
    </w:p>
    <w:p w14:paraId="3D3A683D"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Il faut bien reconnaître que la famille ne fait pas partie des préoccupations centrales de l'Union Européenne. Le terme même de famille n'apparaît pas dans les traités européens. En d'autres termes, il n'existe pas de compétence communautaire dans le domaine de la famille. Cette approche est d'ailleurs confortée par les ministres des Affaires sociales des Etats-membres qui soulignent dans la conclusion du Conseil de 1989 que la politique familiale relève de la compétence des autorités familiales. Plusieurs ministres rappellent à cette occasion que la famille relève de la sphère privée et qu'il ne devrait pas y avoir de politique familiale (</w:t>
      </w:r>
      <w:r w:rsidRPr="00617058">
        <w:rPr>
          <w:rFonts w:ascii="Cambria" w:hAnsi="Cambria"/>
          <w:i/>
          <w:sz w:val="24"/>
          <w:szCs w:val="24"/>
        </w:rPr>
        <w:t>L'Union Européenne et la famille</w:t>
      </w:r>
      <w:r>
        <w:rPr>
          <w:rFonts w:ascii="Cambria" w:hAnsi="Cambria"/>
          <w:sz w:val="24"/>
          <w:szCs w:val="24"/>
        </w:rPr>
        <w:t xml:space="preserve"> 1994: 6).</w:t>
      </w:r>
    </w:p>
    <w:p w14:paraId="04BDBE23" w14:textId="77777777" w:rsidR="00D507C0" w:rsidRDefault="00D507C0" w:rsidP="002B384F">
      <w:pPr>
        <w:pStyle w:val="Sansinterligne"/>
        <w:spacing w:after="120"/>
        <w:jc w:val="both"/>
        <w:rPr>
          <w:rFonts w:ascii="Cambria" w:hAnsi="Cambria"/>
          <w:sz w:val="24"/>
          <w:szCs w:val="24"/>
        </w:rPr>
      </w:pPr>
      <w:r>
        <w:rPr>
          <w:rFonts w:ascii="Cambria" w:hAnsi="Cambria"/>
          <w:sz w:val="24"/>
          <w:szCs w:val="24"/>
        </w:rPr>
        <w:t>Pourquoi, dans ces conditions, l'Europe choisit-elle d'intervenir dans ce domaine? Il y a à cela plusieurs raisons, qu'elle met en avant, à la fin des années 1980, pour justifier ce positionnement, et légitimer son action, car, en effet, ce revirement ne va pas de soi</w:t>
      </w:r>
      <w:r>
        <w:rPr>
          <w:rStyle w:val="Marquenotebasdepage"/>
          <w:rFonts w:ascii="Cambria" w:hAnsi="Cambria"/>
          <w:sz w:val="24"/>
          <w:szCs w:val="24"/>
        </w:rPr>
        <w:footnoteReference w:id="1"/>
      </w:r>
      <w:r>
        <w:rPr>
          <w:rFonts w:ascii="Cambria" w:hAnsi="Cambria"/>
          <w:sz w:val="24"/>
          <w:szCs w:val="24"/>
        </w:rPr>
        <w:t>. En premier lieu, la Commission rappelle le vieillissement démographique auquel l'Europe est confrontée et qui pourrait mettre en péril son économ</w:t>
      </w:r>
      <w:r w:rsidR="007D2DC2">
        <w:rPr>
          <w:rFonts w:ascii="Cambria" w:hAnsi="Cambria"/>
          <w:sz w:val="24"/>
          <w:szCs w:val="24"/>
        </w:rPr>
        <w:t>ie comme ses systèmes sociaux. L</w:t>
      </w:r>
      <w:r>
        <w:rPr>
          <w:rFonts w:ascii="Cambria" w:hAnsi="Cambria"/>
          <w:sz w:val="24"/>
          <w:szCs w:val="24"/>
        </w:rPr>
        <w:t>e vieillissement est lié</w:t>
      </w:r>
      <w:r w:rsidR="007D2DC2">
        <w:rPr>
          <w:rFonts w:ascii="Cambria" w:hAnsi="Cambria"/>
          <w:sz w:val="24"/>
          <w:szCs w:val="24"/>
        </w:rPr>
        <w:t>, en Europe, essentiellement</w:t>
      </w:r>
      <w:r>
        <w:rPr>
          <w:rFonts w:ascii="Cambria" w:hAnsi="Cambria"/>
          <w:sz w:val="24"/>
          <w:szCs w:val="24"/>
        </w:rPr>
        <w:t xml:space="preserve"> à la h</w:t>
      </w:r>
      <w:r w:rsidR="007D2DC2">
        <w:rPr>
          <w:rFonts w:ascii="Cambria" w:hAnsi="Cambria"/>
          <w:sz w:val="24"/>
          <w:szCs w:val="24"/>
        </w:rPr>
        <w:t>ausse de l'espérance de vie</w:t>
      </w:r>
      <w:r>
        <w:rPr>
          <w:rFonts w:ascii="Cambria" w:hAnsi="Cambria"/>
          <w:sz w:val="24"/>
          <w:szCs w:val="24"/>
        </w:rPr>
        <w:t xml:space="preserve"> et la baisse de la fécondité. Même si cette baisse est inégale dans les pays d'Europe, elle s'observe partout et on constate un rapprochement dans le niveau de fécondité des différents Etats-membres (voir graphique 1). Or la fécondité se maintenant à un niveau bas en Europe depuis lors</w:t>
      </w:r>
      <w:r w:rsidR="007D2DC2">
        <w:rPr>
          <w:rStyle w:val="Marquenotebasdepage"/>
          <w:rFonts w:ascii="Cambria" w:hAnsi="Cambria"/>
          <w:sz w:val="24"/>
          <w:szCs w:val="24"/>
        </w:rPr>
        <w:footnoteReference w:id="2"/>
      </w:r>
      <w:r>
        <w:rPr>
          <w:rFonts w:ascii="Cambria" w:hAnsi="Cambria"/>
          <w:sz w:val="24"/>
          <w:szCs w:val="24"/>
        </w:rPr>
        <w:t>, le vieillissement du continent a pris une dimension préoccupante aujourd’hui, ce que traduit le choix de l'UE de désigner l'année 2012 « Année du vieillissement actif et de la solidarité intergénérationnelle ».</w:t>
      </w:r>
    </w:p>
    <w:p w14:paraId="7E33ED3F" w14:textId="77777777" w:rsidR="00D507C0" w:rsidRDefault="00D507C0" w:rsidP="002B384F">
      <w:pPr>
        <w:pStyle w:val="Sansinterligne"/>
        <w:spacing w:after="120"/>
        <w:jc w:val="both"/>
        <w:rPr>
          <w:rFonts w:ascii="Cambria" w:hAnsi="Cambria"/>
          <w:sz w:val="24"/>
          <w:szCs w:val="24"/>
        </w:rPr>
      </w:pPr>
      <w:r>
        <w:rPr>
          <w:rFonts w:ascii="Cambria" w:hAnsi="Cambria"/>
          <w:sz w:val="24"/>
          <w:szCs w:val="24"/>
        </w:rPr>
        <w:t xml:space="preserve">Cette évolution soulève la question d'un soutien accru aux familles, et ce d'autant que les structures familiales et la composition des ménages se diversifie, suite, entre autres, à l'affaiblissement du mariage, et à la progression des familles monoparentales (Communication de la Commission sur les politiques familiales 1989: 127). Or cette évolution accroît les risques, en particulier de pauvreté, auxquels sont exposées les familles, en particulier monoparentales. Les instances communautaires se doivent donc aussi d'intervenir dans le cadre de la lutte contre la pauvreté, mais aussi dans la mesure où les familles élèvent la future génération de travailleurs, ce qui </w:t>
      </w:r>
      <w:proofErr w:type="gramStart"/>
      <w:r>
        <w:rPr>
          <w:rFonts w:ascii="Cambria" w:hAnsi="Cambria"/>
          <w:sz w:val="24"/>
          <w:szCs w:val="24"/>
        </w:rPr>
        <w:t>a</w:t>
      </w:r>
      <w:proofErr w:type="gramEnd"/>
      <w:r>
        <w:rPr>
          <w:rFonts w:ascii="Cambria" w:hAnsi="Cambria"/>
          <w:sz w:val="24"/>
          <w:szCs w:val="24"/>
        </w:rPr>
        <w:t xml:space="preserve"> un impact sur l'avenir économique de l'Europe.</w:t>
      </w:r>
    </w:p>
    <w:p w14:paraId="2921945B" w14:textId="77777777" w:rsidR="00D507C0" w:rsidRDefault="00D507C0" w:rsidP="00E71F89">
      <w:pPr>
        <w:pStyle w:val="Sansinterligne"/>
        <w:spacing w:after="120"/>
        <w:jc w:val="both"/>
        <w:rPr>
          <w:rFonts w:ascii="Cambria" w:hAnsi="Cambria"/>
          <w:sz w:val="24"/>
          <w:szCs w:val="24"/>
        </w:rPr>
      </w:pPr>
    </w:p>
    <w:p w14:paraId="08453450"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lastRenderedPageBreak/>
        <w:t xml:space="preserve">Graphique 1: Evolution de l'indicateur conjoncturel de fécondité dans l'Europe des 12 de 1960 à 2011. </w:t>
      </w:r>
      <w:r w:rsidRPr="00DA77D8">
        <w:rPr>
          <w:rFonts w:ascii="Cambria" w:hAnsi="Cambria"/>
        </w:rPr>
        <w:t>Source: Eurostat.</w:t>
      </w:r>
      <w:r>
        <w:rPr>
          <w:rFonts w:ascii="Cambria" w:hAnsi="Cambria"/>
          <w:sz w:val="24"/>
          <w:szCs w:val="24"/>
        </w:rPr>
        <w:t xml:space="preserve"> </w:t>
      </w:r>
      <w:r w:rsidRPr="008B67BE">
        <w:rPr>
          <w:rFonts w:ascii="Times New Roman" w:hAnsi="Times New Roman"/>
        </w:rPr>
        <w:t>http://epp.eurostat.ec.europa.eu</w:t>
      </w:r>
      <w:r>
        <w:rPr>
          <w:rFonts w:ascii="Times New Roman" w:hAnsi="Times New Roman"/>
        </w:rPr>
        <w:t>.</w:t>
      </w:r>
    </w:p>
    <w:p w14:paraId="61F49EF4" w14:textId="77777777" w:rsidR="00D507C0" w:rsidRDefault="0094730F" w:rsidP="00E71F89">
      <w:pPr>
        <w:pStyle w:val="Sansinterligne"/>
        <w:spacing w:after="120"/>
        <w:jc w:val="both"/>
        <w:rPr>
          <w:rFonts w:ascii="Cambria" w:hAnsi="Cambria"/>
          <w:sz w:val="24"/>
          <w:szCs w:val="24"/>
        </w:rPr>
      </w:pPr>
      <w:r>
        <w:rPr>
          <w:rFonts w:ascii="Cambria" w:hAnsi="Cambria"/>
          <w:noProof/>
          <w:sz w:val="24"/>
          <w:szCs w:val="24"/>
          <w:lang w:eastAsia="fr-FR"/>
        </w:rPr>
        <w:drawing>
          <wp:inline distT="0" distB="0" distL="0" distR="0" wp14:anchorId="74A77EDF" wp14:editId="58BB1591">
            <wp:extent cx="5765421" cy="3403291"/>
            <wp:effectExtent l="12195" t="6099" r="5329" b="2465"/>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82D1D5" w14:textId="77777777" w:rsidR="00D507C0" w:rsidRDefault="00D507C0" w:rsidP="00E71F89">
      <w:pPr>
        <w:pStyle w:val="Sansinterligne"/>
        <w:spacing w:after="120"/>
        <w:jc w:val="both"/>
        <w:rPr>
          <w:rFonts w:ascii="Cambria" w:hAnsi="Cambria"/>
          <w:sz w:val="24"/>
          <w:szCs w:val="24"/>
        </w:rPr>
      </w:pPr>
    </w:p>
    <w:p w14:paraId="35B88E07"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En outre, la participation croissante des femmes à l'emploi appelle également une réponse de la part des institutions communautaires, car elle relève du domaine d'action de l'UE, dans la mesure où elle touche au droit du travail d'une part, et à la question de l'égalité de traitement entre hommes et femmes d'autre part. Or, la participation des femmes au marché du travail</w:t>
      </w:r>
      <w:r w:rsidR="002A4872">
        <w:rPr>
          <w:rFonts w:ascii="Cambria" w:hAnsi="Cambria"/>
          <w:sz w:val="24"/>
          <w:szCs w:val="24"/>
        </w:rPr>
        <w:t xml:space="preserve"> se heurte à des obstacles tel</w:t>
      </w:r>
      <w:r>
        <w:rPr>
          <w:rFonts w:ascii="Cambria" w:hAnsi="Cambria"/>
          <w:sz w:val="24"/>
          <w:szCs w:val="24"/>
        </w:rPr>
        <w:t xml:space="preserve">s que la question de la conciliation entre travail et famille ou les différences de niveau de rémunération entre hommes et femmes. La Commission Européenne s'intéresse par conséquent à des questions telles que la prise en charge des enfants, la flexibilité des horaires de travail, leur adéquation avec les transports, les horaires des services publics et privés, l'action des entreprises auprès des familles, etc. </w:t>
      </w:r>
    </w:p>
    <w:p w14:paraId="042D7E7C" w14:textId="77777777" w:rsidR="00D507C0" w:rsidRDefault="00D507C0" w:rsidP="00E71F89">
      <w:pPr>
        <w:pStyle w:val="Sansinterligne"/>
        <w:spacing w:after="120"/>
        <w:jc w:val="both"/>
        <w:rPr>
          <w:rFonts w:ascii="Cambria" w:hAnsi="Cambria"/>
          <w:sz w:val="24"/>
          <w:szCs w:val="24"/>
        </w:rPr>
      </w:pPr>
    </w:p>
    <w:p w14:paraId="605A151D" w14:textId="77777777" w:rsidR="00D507C0" w:rsidRPr="00365898" w:rsidRDefault="00D507C0" w:rsidP="00365898">
      <w:pPr>
        <w:pStyle w:val="Sansinterligne"/>
        <w:numPr>
          <w:ilvl w:val="0"/>
          <w:numId w:val="3"/>
        </w:numPr>
        <w:spacing w:after="120"/>
        <w:jc w:val="both"/>
        <w:rPr>
          <w:rFonts w:ascii="Cambria" w:hAnsi="Cambria"/>
          <w:b/>
          <w:sz w:val="24"/>
          <w:szCs w:val="24"/>
        </w:rPr>
      </w:pPr>
      <w:r>
        <w:rPr>
          <w:rFonts w:ascii="Cambria" w:hAnsi="Cambria"/>
          <w:b/>
          <w:sz w:val="24"/>
          <w:szCs w:val="24"/>
        </w:rPr>
        <w:t>Une action par définition limitée</w:t>
      </w:r>
    </w:p>
    <w:p w14:paraId="7AE8F0F8" w14:textId="77777777" w:rsidR="00A74BCE" w:rsidRDefault="00D507C0" w:rsidP="00E71F89">
      <w:pPr>
        <w:pStyle w:val="Sansinterligne"/>
        <w:spacing w:after="120"/>
        <w:jc w:val="both"/>
        <w:rPr>
          <w:rFonts w:ascii="Cambria" w:hAnsi="Cambria"/>
          <w:sz w:val="24"/>
          <w:szCs w:val="24"/>
        </w:rPr>
      </w:pPr>
      <w:r>
        <w:rPr>
          <w:rFonts w:ascii="Cambria" w:hAnsi="Cambria"/>
          <w:sz w:val="24"/>
          <w:szCs w:val="24"/>
        </w:rPr>
        <w:t>Se pose néanmoins la question de savoir comment l'Europe peut intervenir dans un domaine dévolu aux Etats-membres. De fait, la commission rappelle le principe de subsidiarité: c'est avant tout aux communes, aux régions et aux Etats d'intervenir (</w:t>
      </w:r>
      <w:r w:rsidRPr="00617058">
        <w:rPr>
          <w:rFonts w:ascii="Cambria" w:hAnsi="Cambria"/>
          <w:i/>
          <w:sz w:val="24"/>
          <w:szCs w:val="24"/>
        </w:rPr>
        <w:t>L'Union Européenne et la famille</w:t>
      </w:r>
      <w:r>
        <w:rPr>
          <w:rFonts w:ascii="Cambria" w:hAnsi="Cambria"/>
          <w:i/>
          <w:sz w:val="24"/>
          <w:szCs w:val="24"/>
        </w:rPr>
        <w:t xml:space="preserve"> </w:t>
      </w:r>
      <w:r w:rsidRPr="007C745B">
        <w:rPr>
          <w:rFonts w:ascii="Cambria" w:hAnsi="Cambria"/>
          <w:sz w:val="24"/>
          <w:szCs w:val="24"/>
        </w:rPr>
        <w:t>1994: 99</w:t>
      </w:r>
      <w:r>
        <w:rPr>
          <w:rFonts w:ascii="Cambria" w:hAnsi="Cambria"/>
          <w:sz w:val="24"/>
          <w:szCs w:val="24"/>
        </w:rPr>
        <w:t xml:space="preserve">). </w:t>
      </w:r>
      <w:r w:rsidR="00A74BCE">
        <w:rPr>
          <w:rFonts w:ascii="Cambria" w:hAnsi="Cambria"/>
          <w:sz w:val="24"/>
          <w:szCs w:val="24"/>
        </w:rPr>
        <w:t>En conséquence, comme dans tous les domaines relevant de la politique sociale, c'est la règle de l'unanimité qui prévaut, ce qui, face aux réticences de certains Etats-membres, limite considérablement les possibilités d'action de l'Union Européenne (Favier 2006).</w:t>
      </w:r>
      <w:r>
        <w:rPr>
          <w:rFonts w:ascii="Cambria" w:hAnsi="Cambria"/>
          <w:sz w:val="24"/>
          <w:szCs w:val="24"/>
        </w:rPr>
        <w:t xml:space="preserve"> </w:t>
      </w:r>
    </w:p>
    <w:p w14:paraId="55714876" w14:textId="77777777" w:rsidR="005A5BA6" w:rsidRDefault="00D507C0" w:rsidP="00E71F89">
      <w:pPr>
        <w:pStyle w:val="Sansinterligne"/>
        <w:spacing w:after="120"/>
        <w:jc w:val="both"/>
        <w:rPr>
          <w:rFonts w:ascii="Cambria" w:hAnsi="Cambria"/>
          <w:sz w:val="24"/>
          <w:szCs w:val="24"/>
        </w:rPr>
      </w:pPr>
      <w:r>
        <w:rPr>
          <w:rFonts w:ascii="Cambria" w:hAnsi="Cambria"/>
          <w:sz w:val="24"/>
          <w:szCs w:val="24"/>
        </w:rPr>
        <w:t xml:space="preserve">On peut néanmoins dégager quatre volets dans le rôle que l’Union Européenne se propose de jouer auprès des familles. En premier lieu, elle met en avant, dans ses textes, l’importance de la famille. Dès 1983, elle reconnaît la valeur de la famille dans une résolution qui débouchera six ans plus tard sur le premier Conseil Européen sur la </w:t>
      </w:r>
      <w:r>
        <w:rPr>
          <w:rFonts w:ascii="Cambria" w:hAnsi="Cambria"/>
          <w:sz w:val="24"/>
          <w:szCs w:val="24"/>
        </w:rPr>
        <w:lastRenderedPageBreak/>
        <w:t>famille, et lui donne une place dans la Charte des Droits fondamentaux de l’UE, en 2000</w:t>
      </w:r>
      <w:r w:rsidR="005A5BA6">
        <w:rPr>
          <w:rStyle w:val="Marquenotebasdepage"/>
          <w:rFonts w:ascii="Cambria" w:hAnsi="Cambria"/>
          <w:sz w:val="24"/>
          <w:szCs w:val="24"/>
        </w:rPr>
        <w:footnoteReference w:id="3"/>
      </w:r>
      <w:r>
        <w:rPr>
          <w:rFonts w:ascii="Cambria" w:hAnsi="Cambria"/>
          <w:sz w:val="24"/>
          <w:szCs w:val="24"/>
        </w:rPr>
        <w:t>. Dans le livre vert sur la démographie de 2005, les politiques de soutien aux familles constituent l’un des trois axes proposés pour lutter contre le vieillissement démographique. Ces prises de position n’ont cependant pas de caractère contraignant.</w:t>
      </w:r>
      <w:r w:rsidR="005A5BA6">
        <w:rPr>
          <w:rFonts w:ascii="Cambria" w:hAnsi="Cambria"/>
          <w:sz w:val="24"/>
          <w:szCs w:val="24"/>
        </w:rPr>
        <w:t xml:space="preserve"> Elles constituent néanmoins un « engagement de comportement entre les institutions qui n'est pas créateur de droit, mais qui lie politiquement et moralement les institutions »</w:t>
      </w:r>
      <w:r w:rsidR="005A5BA6">
        <w:rPr>
          <w:rStyle w:val="Marquenotebasdepage"/>
          <w:rFonts w:ascii="Cambria" w:hAnsi="Cambria"/>
          <w:sz w:val="24"/>
          <w:szCs w:val="24"/>
        </w:rPr>
        <w:footnoteReference w:id="4"/>
      </w:r>
      <w:r w:rsidR="005A5BA6">
        <w:rPr>
          <w:rFonts w:ascii="Cambria" w:hAnsi="Cambria"/>
          <w:sz w:val="24"/>
          <w:szCs w:val="24"/>
        </w:rPr>
        <w:t>.</w:t>
      </w:r>
      <w:r>
        <w:rPr>
          <w:rFonts w:ascii="Cambria" w:hAnsi="Cambria"/>
          <w:sz w:val="24"/>
          <w:szCs w:val="24"/>
        </w:rPr>
        <w:t xml:space="preserve"> </w:t>
      </w:r>
    </w:p>
    <w:p w14:paraId="75F5C622"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En second lieu, les instances communautaires produisent et diffusent des informations sur les politiques familiales. L'Observatoire européen des politiques familiales nationales, créé en 1989 et rebaptisé depuis Observatoire européen de la situation sociale, de la démographie et de la famille est ainsi chargé de réunir des statistiques sur la situation démographique des Etats membres et de publier un état des lieux des législations de chaque pays en matière de soutien aux familles. Parallèlement, l’Alliance européenne pour les familles, qui fut impulsée sous la présidence allemande de l’UE en 2007 et rassemble des organisations familiales</w:t>
      </w:r>
      <w:r w:rsidR="002A4872">
        <w:rPr>
          <w:rFonts w:ascii="Cambria" w:hAnsi="Cambria"/>
          <w:sz w:val="24"/>
          <w:szCs w:val="24"/>
        </w:rPr>
        <w:t>,</w:t>
      </w:r>
      <w:r>
        <w:rPr>
          <w:rFonts w:ascii="Cambria" w:hAnsi="Cambria"/>
          <w:sz w:val="24"/>
          <w:szCs w:val="24"/>
        </w:rPr>
        <w:t xml:space="preserve"> vise à partager les expériences de différents pays. Il s'agit avant tout d'un lieu d'observation et d'échanges, comme le sont les forums et plateformes initiés par l'Union Européenne sur des questions relatives à la famille, par exemple le forum sur la démographie qui se tient tous les deux ans depuis 2006 (Daly 2012). La production et l'échanges d'informations et d’expériences a pour objectif de sensibiliser les Etats-membres et de les inciter à adopter les « bonnes pratiques » de leurs voisins</w:t>
      </w:r>
      <w:r>
        <w:rPr>
          <w:rStyle w:val="Marquenotebasdepage"/>
          <w:rFonts w:ascii="Cambria" w:hAnsi="Cambria"/>
          <w:sz w:val="24"/>
          <w:szCs w:val="24"/>
        </w:rPr>
        <w:footnoteReference w:id="5"/>
      </w:r>
      <w:r>
        <w:rPr>
          <w:rFonts w:ascii="Cambria" w:hAnsi="Cambria"/>
          <w:sz w:val="24"/>
          <w:szCs w:val="24"/>
        </w:rPr>
        <w:t>. L’Union Européenne s’efforce ainsi dans une certaine mesure de créer un effet de contagion, en d’autres termes d’amener les Etats à la traîne à s’inspirer de leurs voisins plus avancés dans les politiques sociales.</w:t>
      </w:r>
    </w:p>
    <w:p w14:paraId="70BEFC70" w14:textId="77777777" w:rsidR="00D507C0" w:rsidRDefault="001E156D" w:rsidP="00E71F89">
      <w:pPr>
        <w:pStyle w:val="Sansinterligne"/>
        <w:spacing w:after="120"/>
        <w:jc w:val="both"/>
        <w:rPr>
          <w:rFonts w:ascii="Cambria" w:hAnsi="Cambria"/>
          <w:sz w:val="24"/>
          <w:szCs w:val="24"/>
        </w:rPr>
      </w:pPr>
      <w:r>
        <w:rPr>
          <w:rFonts w:ascii="Cambria" w:hAnsi="Cambria"/>
          <w:sz w:val="24"/>
          <w:szCs w:val="24"/>
        </w:rPr>
        <w:t>Un troisième volet</w:t>
      </w:r>
      <w:r w:rsidR="00D507C0">
        <w:rPr>
          <w:rFonts w:ascii="Cambria" w:hAnsi="Cambria"/>
          <w:sz w:val="24"/>
          <w:szCs w:val="24"/>
        </w:rPr>
        <w:t xml:space="preserve"> concerne l’aide financière que des fonds structurels ou le Fonds social européen (FSE) apportent à des programmes de lutte contre la violence ou de lutte contre la pauvreté par exemple, dans la mesure où ces domaines relèvent des compétences communautaires. </w:t>
      </w:r>
    </w:p>
    <w:p w14:paraId="69E738B7"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Pour finir, la commission évalue les conséquences sur les familles des propositions de politique dans tous les secteurs. Elle se propose ainsi de légiférer dès lors que </w:t>
      </w:r>
      <w:proofErr w:type="gramStart"/>
      <w:r>
        <w:rPr>
          <w:rFonts w:ascii="Cambria" w:hAnsi="Cambria"/>
          <w:sz w:val="24"/>
          <w:szCs w:val="24"/>
        </w:rPr>
        <w:t>sont</w:t>
      </w:r>
      <w:proofErr w:type="gramEnd"/>
      <w:r>
        <w:rPr>
          <w:rFonts w:ascii="Cambria" w:hAnsi="Cambria"/>
          <w:sz w:val="24"/>
          <w:szCs w:val="24"/>
        </w:rPr>
        <w:t xml:space="preserve"> concernés des domaines d'action de l'UE, par exemple l'égalité de traitement des hommes et des femmes. La Commission travaille dans ce cadre notamment avec la Confédération des organisations familiales de la Communauté Européenne (Coface)</w:t>
      </w:r>
      <w:r>
        <w:rPr>
          <w:rStyle w:val="Marquenotebasdepage"/>
          <w:rFonts w:ascii="Cambria" w:hAnsi="Cambria"/>
          <w:sz w:val="24"/>
          <w:szCs w:val="24"/>
        </w:rPr>
        <w:footnoteReference w:id="6"/>
      </w:r>
      <w:r>
        <w:rPr>
          <w:rFonts w:ascii="Cambria" w:hAnsi="Cambria"/>
          <w:sz w:val="24"/>
          <w:szCs w:val="24"/>
        </w:rPr>
        <w:t xml:space="preserve"> et le parlement européen</w:t>
      </w:r>
      <w:r>
        <w:rPr>
          <w:rStyle w:val="Marquenotebasdepage"/>
          <w:rFonts w:ascii="Cambria" w:hAnsi="Cambria"/>
          <w:sz w:val="24"/>
          <w:szCs w:val="24"/>
        </w:rPr>
        <w:footnoteReference w:id="7"/>
      </w:r>
      <w:r>
        <w:rPr>
          <w:rFonts w:ascii="Cambria" w:hAnsi="Cambria"/>
          <w:sz w:val="24"/>
          <w:szCs w:val="24"/>
        </w:rPr>
        <w:t xml:space="preserve">. Selon que le sujet relève ou non du domaine de compétences de </w:t>
      </w:r>
      <w:r>
        <w:rPr>
          <w:rFonts w:ascii="Cambria" w:hAnsi="Cambria"/>
          <w:sz w:val="24"/>
          <w:szCs w:val="24"/>
        </w:rPr>
        <w:lastRenderedPageBreak/>
        <w:t>l’UE, la commission adopte des directives, qui sont déclinées dans les Etats membres en lois nationales, ou des recommandations au caractère incitatif et non contraignant</w:t>
      </w:r>
      <w:r w:rsidR="00C80EA1">
        <w:rPr>
          <w:rStyle w:val="Marquenotebasdepage"/>
          <w:rFonts w:ascii="Cambria" w:hAnsi="Cambria"/>
          <w:sz w:val="24"/>
          <w:szCs w:val="24"/>
        </w:rPr>
        <w:footnoteReference w:id="8"/>
      </w:r>
      <w:r>
        <w:rPr>
          <w:rFonts w:ascii="Cambria" w:hAnsi="Cambria"/>
          <w:sz w:val="24"/>
          <w:szCs w:val="24"/>
        </w:rPr>
        <w:t>.</w:t>
      </w:r>
    </w:p>
    <w:p w14:paraId="6677B133"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En d’autres termes, l’UE n’aborde pas la question du soutien aux familles de manière frontale, mais de biais, soit via des domaines relevant de compétences communautaires, telle que l’égalité hommes-femmes, soit via des prises de position purement incitatives.</w:t>
      </w:r>
    </w:p>
    <w:p w14:paraId="18D5E0E0" w14:textId="77777777" w:rsidR="00D507C0" w:rsidRDefault="00D507C0" w:rsidP="00E71F89">
      <w:pPr>
        <w:pStyle w:val="Sansinterligne"/>
        <w:spacing w:after="120"/>
        <w:jc w:val="both"/>
        <w:rPr>
          <w:rFonts w:ascii="Cambria" w:hAnsi="Cambria"/>
          <w:sz w:val="24"/>
          <w:szCs w:val="24"/>
        </w:rPr>
      </w:pPr>
    </w:p>
    <w:p w14:paraId="6020A1B4" w14:textId="77777777" w:rsidR="00D507C0" w:rsidRPr="00B535A2" w:rsidRDefault="00D507C0" w:rsidP="00B535A2">
      <w:pPr>
        <w:pStyle w:val="Sansinterligne"/>
        <w:numPr>
          <w:ilvl w:val="0"/>
          <w:numId w:val="1"/>
        </w:numPr>
        <w:spacing w:after="120"/>
        <w:jc w:val="both"/>
        <w:rPr>
          <w:rFonts w:ascii="Cambria" w:hAnsi="Cambria"/>
          <w:b/>
          <w:sz w:val="24"/>
          <w:szCs w:val="24"/>
        </w:rPr>
      </w:pPr>
      <w:r>
        <w:rPr>
          <w:rFonts w:ascii="Cambria" w:hAnsi="Cambria"/>
          <w:b/>
          <w:sz w:val="24"/>
          <w:szCs w:val="24"/>
        </w:rPr>
        <w:t>Quels o</w:t>
      </w:r>
      <w:r w:rsidRPr="00B535A2">
        <w:rPr>
          <w:rFonts w:ascii="Cambria" w:hAnsi="Cambria"/>
          <w:b/>
          <w:sz w:val="24"/>
          <w:szCs w:val="24"/>
        </w:rPr>
        <w:t>bjectifs</w:t>
      </w:r>
      <w:r>
        <w:rPr>
          <w:rFonts w:ascii="Cambria" w:hAnsi="Cambria"/>
          <w:b/>
          <w:sz w:val="24"/>
          <w:szCs w:val="24"/>
        </w:rPr>
        <w:t>?</w:t>
      </w:r>
    </w:p>
    <w:p w14:paraId="5EE8564C" w14:textId="77777777" w:rsidR="00D507C0" w:rsidRDefault="00D507C0" w:rsidP="00E71F89">
      <w:pPr>
        <w:pStyle w:val="Sansinterligne"/>
        <w:spacing w:after="120"/>
        <w:jc w:val="both"/>
        <w:rPr>
          <w:rFonts w:ascii="Cambria" w:hAnsi="Cambria"/>
          <w:sz w:val="24"/>
          <w:szCs w:val="24"/>
        </w:rPr>
      </w:pPr>
    </w:p>
    <w:p w14:paraId="12438EA2"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S'inspirant de la stratégie européenne pour l'emploi (SEE)</w:t>
      </w:r>
      <w:r w:rsidR="0001684A">
        <w:rPr>
          <w:rFonts w:ascii="Cambria" w:hAnsi="Cambria"/>
          <w:sz w:val="24"/>
          <w:szCs w:val="24"/>
        </w:rPr>
        <w:t>, initiée à l'occasion du Conseil Européen d'Amsterdam de 1997</w:t>
      </w:r>
      <w:r>
        <w:rPr>
          <w:rFonts w:ascii="Cambria" w:hAnsi="Cambria"/>
          <w:sz w:val="24"/>
          <w:szCs w:val="24"/>
        </w:rPr>
        <w:t>, le Conseil Européen de Lisbonne de 2000 préconise une hausse progressive du taux d'emploi féminin. La hausse de la participation des femmes à l'emploi doit répondre à un ensemble d'objectifs. En premier lieu, il s'agit de réagir à l'évolution démographique. Les démographes ayant constaté que les Etats qui présentent le taux d'emploi des mères le plus élevé se caractérisent aussi par un niveau de fécondité supérieur à la moyenne européenne, l'UE souhaite favoriser une reprise des naissances en améliorant l'articulation entre travail et famille et en allégeant, pour ce faire, la charge familiale qui pèse sur les mères. De plus, l'évolution démographique soulève la question d'une éventuelle pénurie de main d'œuvre, en particulier qualifiée. Or les femmes qui présentent souvent un niveau de qualification élevé constituent un réservoir de main d'œuvre particulièrement intéressant pour les employeurs en Europe (</w:t>
      </w:r>
      <w:proofErr w:type="spellStart"/>
      <w:r>
        <w:rPr>
          <w:rFonts w:ascii="Cambria" w:hAnsi="Cambria"/>
          <w:sz w:val="24"/>
          <w:szCs w:val="24"/>
        </w:rPr>
        <w:t>Letablier</w:t>
      </w:r>
      <w:proofErr w:type="spellEnd"/>
      <w:r>
        <w:rPr>
          <w:rFonts w:ascii="Cambria" w:hAnsi="Cambria"/>
          <w:sz w:val="24"/>
          <w:szCs w:val="24"/>
        </w:rPr>
        <w:t xml:space="preserve"> 2007).</w:t>
      </w:r>
    </w:p>
    <w:p w14:paraId="44C39B57"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En second lieu, l'intégration des femmes sur le marché du travail doit permettre un rééquilibrage entre hommes et femmes au plan économique et diminuer le risque de pauvreté des femmes, en particulier une fois l'âge de la retraite atteint. Il s'agit par conséquent </w:t>
      </w:r>
      <w:r w:rsidR="007D2DC2">
        <w:rPr>
          <w:rFonts w:ascii="Cambria" w:hAnsi="Cambria"/>
          <w:sz w:val="24"/>
          <w:szCs w:val="24"/>
        </w:rPr>
        <w:t>ici</w:t>
      </w:r>
      <w:r>
        <w:rPr>
          <w:rFonts w:ascii="Cambria" w:hAnsi="Cambria"/>
          <w:sz w:val="24"/>
          <w:szCs w:val="24"/>
        </w:rPr>
        <w:t xml:space="preserve"> de lutter contre les discriminations au travail, en particulier en termes de rémunération.</w:t>
      </w:r>
    </w:p>
    <w:p w14:paraId="1F2B452E"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Pour finir, la participation des mères à l'emploi pourrait améliorer le bien-être des enfants et leur niveau d'éducation. La présence de deux salaires diminue en effet le risque de pauvreté des parents, comme des enfants. Et la prise en charge des enfants jusqu'à l'âge de six ans dans des structures collectives favorisant l'apprentissage et le développement de compétences pourrait limiter le risque de décrochage ultérieur des enfants à l'école. En d'autres termes, le développement d'infrastructures d'accueil pour la petite enfance, qui accompagne et facilite l'activité professionnelle des mères, constitue un investissement social (Dauphin, </w:t>
      </w:r>
      <w:proofErr w:type="spellStart"/>
      <w:r>
        <w:rPr>
          <w:rFonts w:ascii="Cambria" w:hAnsi="Cambria"/>
          <w:sz w:val="24"/>
          <w:szCs w:val="24"/>
        </w:rPr>
        <w:t>Letablier</w:t>
      </w:r>
      <w:proofErr w:type="spellEnd"/>
      <w:r>
        <w:rPr>
          <w:rFonts w:ascii="Cambria" w:hAnsi="Cambria"/>
          <w:sz w:val="24"/>
          <w:szCs w:val="24"/>
        </w:rPr>
        <w:t xml:space="preserve"> 2013).</w:t>
      </w:r>
    </w:p>
    <w:p w14:paraId="5A09B0C1"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Parallèlement, l'UE souhaite inciter les pères à participer activement à la prise en charge des enfants afin de diminuer la charge familiale qui pèse sur les mères et </w:t>
      </w:r>
      <w:r w:rsidR="007D2DC2">
        <w:rPr>
          <w:rFonts w:ascii="Cambria" w:hAnsi="Cambria"/>
          <w:sz w:val="24"/>
          <w:szCs w:val="24"/>
        </w:rPr>
        <w:t xml:space="preserve">de </w:t>
      </w:r>
      <w:r>
        <w:rPr>
          <w:rFonts w:ascii="Cambria" w:hAnsi="Cambria"/>
          <w:sz w:val="24"/>
          <w:szCs w:val="24"/>
        </w:rPr>
        <w:t>leur permettre de reprendre le travail plus facilement, mais aussi pour favoriser l'égalité entre hommes et femmes, non seulement sur le plan professionnel, mais aussi familial.</w:t>
      </w:r>
    </w:p>
    <w:p w14:paraId="40CEBB0C" w14:textId="581BE075"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Pour finir, la stratégie de Lisbonne insiste sur la nécessité d’un allongement de la durée de la vie active, que ce soit par une hausse du taux d’emploi des </w:t>
      </w:r>
      <w:r w:rsidR="000B3F48">
        <w:rPr>
          <w:rFonts w:ascii="Cambria" w:hAnsi="Cambria"/>
          <w:sz w:val="24"/>
          <w:szCs w:val="24"/>
        </w:rPr>
        <w:t>seniors ou une hausse</w:t>
      </w:r>
      <w:r>
        <w:rPr>
          <w:rFonts w:ascii="Cambria" w:hAnsi="Cambria"/>
          <w:sz w:val="24"/>
          <w:szCs w:val="24"/>
        </w:rPr>
        <w:t xml:space="preserve"> de l’âge du départ à la retraite.</w:t>
      </w:r>
    </w:p>
    <w:p w14:paraId="55EA9A84" w14:textId="44FA06CF" w:rsidR="00D507C0" w:rsidRDefault="00D507C0" w:rsidP="004D2118">
      <w:pPr>
        <w:pStyle w:val="Sansinterligne"/>
        <w:spacing w:after="120"/>
        <w:jc w:val="both"/>
        <w:rPr>
          <w:rFonts w:ascii="Cambria" w:hAnsi="Cambria"/>
          <w:sz w:val="24"/>
          <w:szCs w:val="24"/>
        </w:rPr>
      </w:pPr>
      <w:r>
        <w:rPr>
          <w:rFonts w:ascii="Cambria" w:hAnsi="Cambria"/>
          <w:sz w:val="24"/>
          <w:szCs w:val="24"/>
        </w:rPr>
        <w:lastRenderedPageBreak/>
        <w:t>L'Union Européenne s'intéresse ainsi avant tout à quatre volets: 1-l'impact des politiques communautaires sur les familles, 2-la conciliation entre travail et famille et le partage des responsabilités familiales, 3-les mesures en faveur de certaines catégories de familles, comme les familles nombreuses ou monoparentales, et surtout, les familles les plus démunies, 4-la prise en compte du vieillissement démographique des sociétés européennes par le développement de la solidarité intergénérationnelle, la réforme des systèmes santé, etc</w:t>
      </w:r>
      <w:r w:rsidR="00D65360">
        <w:rPr>
          <w:rFonts w:ascii="Cambria" w:hAnsi="Cambria"/>
          <w:sz w:val="24"/>
          <w:szCs w:val="24"/>
        </w:rPr>
        <w:t>.</w:t>
      </w:r>
      <w:r w:rsidR="00284EB0">
        <w:rPr>
          <w:rFonts w:ascii="Cambria" w:hAnsi="Cambria"/>
          <w:sz w:val="24"/>
          <w:szCs w:val="24"/>
        </w:rPr>
        <w:t xml:space="preserve"> La présente étude s'attachera principalement à la question de la conciliation entre vie professionnelle et vie familiale.</w:t>
      </w:r>
    </w:p>
    <w:p w14:paraId="2436AE05" w14:textId="77777777" w:rsidR="00D507C0" w:rsidRDefault="00D507C0" w:rsidP="00E71F89">
      <w:pPr>
        <w:pStyle w:val="Sansinterligne"/>
        <w:spacing w:after="120"/>
        <w:jc w:val="both"/>
        <w:rPr>
          <w:rFonts w:ascii="Cambria" w:hAnsi="Cambria"/>
          <w:sz w:val="24"/>
          <w:szCs w:val="24"/>
        </w:rPr>
      </w:pPr>
    </w:p>
    <w:p w14:paraId="60BEB727" w14:textId="77777777" w:rsidR="00D507C0" w:rsidRPr="00147B23" w:rsidRDefault="00D507C0" w:rsidP="00147B23">
      <w:pPr>
        <w:pStyle w:val="Sansinterligne"/>
        <w:numPr>
          <w:ilvl w:val="0"/>
          <w:numId w:val="2"/>
        </w:numPr>
        <w:spacing w:after="120"/>
        <w:jc w:val="both"/>
        <w:rPr>
          <w:rFonts w:ascii="Cambria" w:hAnsi="Cambria"/>
          <w:b/>
          <w:sz w:val="24"/>
          <w:szCs w:val="24"/>
        </w:rPr>
      </w:pPr>
      <w:r>
        <w:rPr>
          <w:rFonts w:ascii="Cambria" w:hAnsi="Cambria"/>
          <w:b/>
          <w:sz w:val="24"/>
          <w:szCs w:val="24"/>
        </w:rPr>
        <w:t>Quelles a</w:t>
      </w:r>
      <w:r w:rsidRPr="00147B23">
        <w:rPr>
          <w:rFonts w:ascii="Cambria" w:hAnsi="Cambria"/>
          <w:b/>
          <w:sz w:val="24"/>
          <w:szCs w:val="24"/>
        </w:rPr>
        <w:t xml:space="preserve">ctions concrètes </w:t>
      </w:r>
      <w:r>
        <w:rPr>
          <w:rFonts w:ascii="Cambria" w:hAnsi="Cambria"/>
          <w:b/>
          <w:sz w:val="24"/>
          <w:szCs w:val="24"/>
        </w:rPr>
        <w:t>au niveau européen?</w:t>
      </w:r>
    </w:p>
    <w:p w14:paraId="0F853BFF" w14:textId="77777777" w:rsidR="00D507C0" w:rsidRDefault="00D507C0" w:rsidP="00E71F89">
      <w:pPr>
        <w:pStyle w:val="Sansinterligne"/>
        <w:spacing w:after="120"/>
        <w:jc w:val="both"/>
        <w:rPr>
          <w:rFonts w:ascii="Cambria" w:hAnsi="Cambria"/>
          <w:sz w:val="24"/>
          <w:szCs w:val="24"/>
        </w:rPr>
      </w:pPr>
    </w:p>
    <w:p w14:paraId="055B5D8A" w14:textId="77777777" w:rsidR="00D507C0" w:rsidRDefault="007D2DC2" w:rsidP="00BA1CD0">
      <w:pPr>
        <w:pStyle w:val="Sansinterligne"/>
        <w:spacing w:after="120"/>
        <w:jc w:val="both"/>
        <w:rPr>
          <w:rFonts w:ascii="Cambria" w:hAnsi="Cambria"/>
          <w:sz w:val="24"/>
          <w:szCs w:val="24"/>
        </w:rPr>
      </w:pPr>
      <w:r>
        <w:rPr>
          <w:rFonts w:ascii="Cambria" w:hAnsi="Cambria"/>
          <w:sz w:val="24"/>
          <w:szCs w:val="24"/>
        </w:rPr>
        <w:t xml:space="preserve">Ces objectifs ont donné lieu à des recommandations et des directives, </w:t>
      </w:r>
      <w:r w:rsidR="00D507C0">
        <w:rPr>
          <w:rFonts w:ascii="Cambria" w:hAnsi="Cambria"/>
          <w:sz w:val="24"/>
          <w:szCs w:val="24"/>
        </w:rPr>
        <w:t xml:space="preserve">en particulier </w:t>
      </w:r>
      <w:r>
        <w:rPr>
          <w:rFonts w:ascii="Cambria" w:hAnsi="Cambria"/>
          <w:sz w:val="24"/>
          <w:szCs w:val="24"/>
        </w:rPr>
        <w:t>dans le domaine de la</w:t>
      </w:r>
      <w:r w:rsidR="00D507C0">
        <w:rPr>
          <w:rFonts w:ascii="Cambria" w:hAnsi="Cambria"/>
          <w:sz w:val="24"/>
          <w:szCs w:val="24"/>
        </w:rPr>
        <w:t xml:space="preserve"> prise en charge extérieure des enfants et </w:t>
      </w:r>
      <w:r>
        <w:rPr>
          <w:rFonts w:ascii="Cambria" w:hAnsi="Cambria"/>
          <w:sz w:val="24"/>
          <w:szCs w:val="24"/>
        </w:rPr>
        <w:t>du</w:t>
      </w:r>
      <w:r w:rsidR="00D507C0">
        <w:rPr>
          <w:rFonts w:ascii="Cambria" w:hAnsi="Cambria"/>
          <w:sz w:val="24"/>
          <w:szCs w:val="24"/>
        </w:rPr>
        <w:t xml:space="preserve"> congé parental. Dès 1992, l'UE recommande le développement de l'accueil des enfants dans des structures adaptées, un objectif précisé dans le cadre du Conseil européen de Barcelone en 2002: le Conseil européen préconi</w:t>
      </w:r>
      <w:r w:rsidR="0061727C">
        <w:rPr>
          <w:rFonts w:ascii="Cambria" w:hAnsi="Cambria"/>
          <w:sz w:val="24"/>
          <w:szCs w:val="24"/>
        </w:rPr>
        <w:t>se alors la prise en charge, en dehors du cercle familial,</w:t>
      </w:r>
      <w:r w:rsidR="00D507C0">
        <w:rPr>
          <w:rFonts w:ascii="Cambria" w:hAnsi="Cambria"/>
          <w:sz w:val="24"/>
          <w:szCs w:val="24"/>
        </w:rPr>
        <w:t xml:space="preserve"> d'au moins un tiers des enfants de moins de trois ans et d'au moins 90% des enfants âgés de trois à cinq ans. Cette hausse de l'offre d'accueil doit respecter des critères de qualité, afin de répondre à l'objectif de bien-être des enfants, en particulier en termes de qualifica</w:t>
      </w:r>
      <w:r>
        <w:rPr>
          <w:rFonts w:ascii="Cambria" w:hAnsi="Cambria"/>
          <w:sz w:val="24"/>
          <w:szCs w:val="24"/>
        </w:rPr>
        <w:t>tion du personnel d'encadrement</w:t>
      </w:r>
      <w:r w:rsidR="00D507C0">
        <w:rPr>
          <w:rFonts w:ascii="Cambria" w:hAnsi="Cambria"/>
          <w:sz w:val="24"/>
          <w:szCs w:val="24"/>
        </w:rPr>
        <w:t>.</w:t>
      </w:r>
    </w:p>
    <w:p w14:paraId="1D201794"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Le développement des infrastructures d'accueil doit </w:t>
      </w:r>
      <w:r w:rsidR="007D2DC2">
        <w:rPr>
          <w:rFonts w:ascii="Cambria" w:hAnsi="Cambria"/>
          <w:sz w:val="24"/>
          <w:szCs w:val="24"/>
        </w:rPr>
        <w:t>favoriser le maintien dans l'emploi des</w:t>
      </w:r>
      <w:r>
        <w:rPr>
          <w:rFonts w:ascii="Cambria" w:hAnsi="Cambria"/>
          <w:sz w:val="24"/>
          <w:szCs w:val="24"/>
        </w:rPr>
        <w:t xml:space="preserve"> femmes</w:t>
      </w:r>
      <w:r w:rsidR="007D2DC2">
        <w:rPr>
          <w:rFonts w:ascii="Cambria" w:hAnsi="Cambria"/>
          <w:sz w:val="24"/>
          <w:szCs w:val="24"/>
        </w:rPr>
        <w:t>,</w:t>
      </w:r>
      <w:r>
        <w:rPr>
          <w:rFonts w:ascii="Cambria" w:hAnsi="Cambria"/>
          <w:sz w:val="24"/>
          <w:szCs w:val="24"/>
        </w:rPr>
        <w:t xml:space="preserve"> </w:t>
      </w:r>
      <w:r w:rsidR="007D2DC2">
        <w:rPr>
          <w:rFonts w:ascii="Cambria" w:hAnsi="Cambria"/>
          <w:sz w:val="24"/>
          <w:szCs w:val="24"/>
        </w:rPr>
        <w:t>raison pour laquelle</w:t>
      </w:r>
      <w:r>
        <w:rPr>
          <w:rFonts w:ascii="Cambria" w:hAnsi="Cambria"/>
          <w:sz w:val="24"/>
          <w:szCs w:val="24"/>
        </w:rPr>
        <w:t xml:space="preserve"> l'UE </w:t>
      </w:r>
      <w:r w:rsidR="007D2DC2">
        <w:rPr>
          <w:rFonts w:ascii="Cambria" w:hAnsi="Cambria"/>
          <w:sz w:val="24"/>
          <w:szCs w:val="24"/>
        </w:rPr>
        <w:t xml:space="preserve">a </w:t>
      </w:r>
      <w:r>
        <w:rPr>
          <w:rFonts w:ascii="Cambria" w:hAnsi="Cambria"/>
          <w:sz w:val="24"/>
          <w:szCs w:val="24"/>
        </w:rPr>
        <w:t>recommand</w:t>
      </w:r>
      <w:r w:rsidR="007D2DC2">
        <w:rPr>
          <w:rFonts w:ascii="Cambria" w:hAnsi="Cambria"/>
          <w:sz w:val="24"/>
          <w:szCs w:val="24"/>
        </w:rPr>
        <w:t>é</w:t>
      </w:r>
      <w:r>
        <w:rPr>
          <w:rFonts w:ascii="Cambria" w:hAnsi="Cambria"/>
          <w:sz w:val="24"/>
          <w:szCs w:val="24"/>
        </w:rPr>
        <w:t>, dans le cadre de la Stratégie de Lisbonne, un</w:t>
      </w:r>
      <w:r w:rsidR="007D2DC2">
        <w:rPr>
          <w:rFonts w:ascii="Cambria" w:hAnsi="Cambria"/>
          <w:sz w:val="24"/>
          <w:szCs w:val="24"/>
        </w:rPr>
        <w:t>e hausse du</w:t>
      </w:r>
      <w:r>
        <w:rPr>
          <w:rFonts w:ascii="Cambria" w:hAnsi="Cambria"/>
          <w:sz w:val="24"/>
          <w:szCs w:val="24"/>
        </w:rPr>
        <w:t xml:space="preserve"> taux d'emploi </w:t>
      </w:r>
      <w:r w:rsidR="007D2DC2">
        <w:rPr>
          <w:rFonts w:ascii="Cambria" w:hAnsi="Cambria"/>
          <w:sz w:val="24"/>
          <w:szCs w:val="24"/>
        </w:rPr>
        <w:t>féminin à 60% d'ici 2010</w:t>
      </w:r>
      <w:r>
        <w:rPr>
          <w:rFonts w:ascii="Cambria" w:hAnsi="Cambria"/>
          <w:sz w:val="24"/>
          <w:szCs w:val="24"/>
        </w:rPr>
        <w:t>.</w:t>
      </w:r>
    </w:p>
    <w:p w14:paraId="73355531"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Parallèlement à ces recommandations, la Commission Européenne a adopté une directive concernant le congé parental en 1996. Bien que le congé parental concerne aussi bien le droit du travail que la question de l'égalité entre les sexes, ce qui justifie donc la mise en place d'une directive à ce sujet, il a fallu treize ans pour qu'elle soit adoptée et le contenu de la directive ne permet guère d'avancée, puisqu'il s'agit plutôt d'un accord a minima (</w:t>
      </w:r>
      <w:proofErr w:type="spellStart"/>
      <w:r>
        <w:rPr>
          <w:rFonts w:ascii="Cambria" w:hAnsi="Cambria"/>
          <w:sz w:val="24"/>
          <w:szCs w:val="24"/>
        </w:rPr>
        <w:t>Letablier</w:t>
      </w:r>
      <w:proofErr w:type="spellEnd"/>
      <w:r>
        <w:rPr>
          <w:rFonts w:ascii="Cambria" w:hAnsi="Cambria"/>
          <w:sz w:val="24"/>
          <w:szCs w:val="24"/>
        </w:rPr>
        <w:t xml:space="preserve"> 2007). La directive prévoit en effet simplement un congé parental d'au moins trois mois pour les salarié(e</w:t>
      </w:r>
      <w:proofErr w:type="gramStart"/>
      <w:r>
        <w:rPr>
          <w:rFonts w:ascii="Cambria" w:hAnsi="Cambria"/>
          <w:sz w:val="24"/>
          <w:szCs w:val="24"/>
        </w:rPr>
        <w:t>)s</w:t>
      </w:r>
      <w:proofErr w:type="gramEnd"/>
      <w:r>
        <w:rPr>
          <w:rFonts w:ascii="Cambria" w:hAnsi="Cambria"/>
          <w:sz w:val="24"/>
          <w:szCs w:val="24"/>
        </w:rPr>
        <w:t xml:space="preserve"> sans précision de rémunération. Comme l'Allemagne, de nombreux pays européens proposaient déjà, à l'époque, un congé souvent plus long et rémunéré. Le congé parental a donné lieu à une nouvelle directive en 2010 qui prévoit une durée minimale de quatre mois, au lieu de trois, dont un mois non transférable, afin d'inciter les pères à participer au congé parental.</w:t>
      </w:r>
    </w:p>
    <w:p w14:paraId="60121D21" w14:textId="77777777" w:rsidR="00D507C0" w:rsidRDefault="00D507C0" w:rsidP="00E71F89">
      <w:pPr>
        <w:pStyle w:val="Sansinterligne"/>
        <w:spacing w:after="120"/>
        <w:jc w:val="both"/>
        <w:rPr>
          <w:rFonts w:ascii="Cambria" w:hAnsi="Cambria"/>
          <w:sz w:val="24"/>
          <w:szCs w:val="24"/>
        </w:rPr>
      </w:pPr>
    </w:p>
    <w:p w14:paraId="31F45D38" w14:textId="77777777" w:rsidR="00D507C0" w:rsidRDefault="00D507C0" w:rsidP="00E71F89">
      <w:pPr>
        <w:pStyle w:val="Sansinterligne"/>
        <w:spacing w:after="120"/>
        <w:jc w:val="both"/>
        <w:rPr>
          <w:rFonts w:ascii="Cambria" w:hAnsi="Cambria"/>
          <w:b/>
          <w:sz w:val="24"/>
          <w:szCs w:val="24"/>
        </w:rPr>
      </w:pPr>
      <w:r w:rsidRPr="00BC5A66">
        <w:rPr>
          <w:rFonts w:ascii="Cambria" w:hAnsi="Cambria"/>
          <w:b/>
          <w:sz w:val="24"/>
          <w:szCs w:val="24"/>
        </w:rPr>
        <w:t>II-Le rôle de l'Union Européenne dans les réformes de la politique familiale allemande</w:t>
      </w:r>
    </w:p>
    <w:p w14:paraId="06A90C35" w14:textId="77777777" w:rsidR="00D507C0" w:rsidRPr="00BC5A66" w:rsidRDefault="00D507C0" w:rsidP="00E71F89">
      <w:pPr>
        <w:pStyle w:val="Sansinterligne"/>
        <w:spacing w:after="120"/>
        <w:jc w:val="both"/>
        <w:rPr>
          <w:rFonts w:ascii="Cambria" w:hAnsi="Cambria"/>
          <w:b/>
          <w:sz w:val="24"/>
          <w:szCs w:val="24"/>
        </w:rPr>
      </w:pPr>
    </w:p>
    <w:p w14:paraId="1E45FF15" w14:textId="77777777" w:rsidR="00D507C0" w:rsidRPr="00886DF9" w:rsidRDefault="00D507C0" w:rsidP="00886DF9">
      <w:pPr>
        <w:pStyle w:val="Sansinterligne"/>
        <w:numPr>
          <w:ilvl w:val="0"/>
          <w:numId w:val="6"/>
        </w:numPr>
        <w:spacing w:after="120"/>
        <w:jc w:val="both"/>
        <w:rPr>
          <w:rFonts w:ascii="Cambria" w:hAnsi="Cambria"/>
          <w:b/>
          <w:sz w:val="24"/>
          <w:szCs w:val="24"/>
        </w:rPr>
      </w:pPr>
      <w:r w:rsidRPr="00886DF9">
        <w:rPr>
          <w:rFonts w:ascii="Cambria" w:hAnsi="Cambria"/>
          <w:b/>
          <w:sz w:val="24"/>
          <w:szCs w:val="24"/>
        </w:rPr>
        <w:t>Le retard de l'Allemagne</w:t>
      </w:r>
    </w:p>
    <w:p w14:paraId="7E579A72" w14:textId="77777777" w:rsidR="00D507C0" w:rsidRDefault="00D507C0" w:rsidP="00E71F89">
      <w:pPr>
        <w:pStyle w:val="Sansinterligne"/>
        <w:spacing w:after="120"/>
        <w:jc w:val="both"/>
        <w:rPr>
          <w:rFonts w:ascii="Cambria" w:hAnsi="Cambria"/>
          <w:sz w:val="24"/>
          <w:szCs w:val="24"/>
        </w:rPr>
      </w:pPr>
    </w:p>
    <w:p w14:paraId="01CD151C"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lastRenderedPageBreak/>
        <w:t>Mis à part le congé parental</w:t>
      </w:r>
      <w:r>
        <w:rPr>
          <w:rStyle w:val="Marquenotebasdepage"/>
          <w:rFonts w:ascii="Cambria" w:hAnsi="Cambria"/>
          <w:sz w:val="24"/>
          <w:szCs w:val="24"/>
        </w:rPr>
        <w:footnoteReference w:id="9"/>
      </w:r>
      <w:r>
        <w:rPr>
          <w:rFonts w:ascii="Cambria" w:hAnsi="Cambria"/>
          <w:sz w:val="24"/>
          <w:szCs w:val="24"/>
        </w:rPr>
        <w:t xml:space="preserve">, l'Allemagne n'atteignait pas, en 2000, les objectifs recommandés par Bruxelles dans le cadre de la Stratégie de Lisbonne. Certes, elle s'en rapprochait considérablement en ce qui concerne le taux d'emploi des femmes et la prise en charge des enfants âgés de trois à cinq ans. En 2000, les Allemandes affichaient un taux d'emploi de 57,8%, proche des 60% préconisés. </w:t>
      </w:r>
    </w:p>
    <w:p w14:paraId="33AF72DE" w14:textId="77777777" w:rsidR="00D507C0" w:rsidRPr="00951E6B" w:rsidRDefault="00D507C0" w:rsidP="00E71F89">
      <w:pPr>
        <w:pStyle w:val="Sansinterligne"/>
        <w:spacing w:after="120"/>
        <w:jc w:val="both"/>
        <w:rPr>
          <w:rFonts w:ascii="Cambria" w:hAnsi="Cambria"/>
          <w:sz w:val="24"/>
          <w:szCs w:val="24"/>
        </w:rPr>
      </w:pPr>
      <w:r>
        <w:rPr>
          <w:rFonts w:ascii="Cambria" w:hAnsi="Cambria"/>
          <w:sz w:val="24"/>
          <w:szCs w:val="24"/>
        </w:rPr>
        <w:t>En ce qui concerne l'accueil des enfants âgés de 3 à 5 ans, l'Allemagne offrait, fin 2002, un nombre de places dans les jardins d'enfants correspondant à 91% des enfants de la tranche d'âge concernée, soit 90% à l'ouest et 105% à l'est</w:t>
      </w:r>
      <w:r>
        <w:rPr>
          <w:rStyle w:val="Marquenotebasdepage"/>
          <w:rFonts w:ascii="Cambria" w:hAnsi="Cambria"/>
          <w:sz w:val="24"/>
          <w:szCs w:val="24"/>
        </w:rPr>
        <w:footnoteReference w:id="10"/>
      </w:r>
      <w:r>
        <w:rPr>
          <w:rFonts w:ascii="Cambria" w:hAnsi="Cambria"/>
          <w:sz w:val="24"/>
          <w:szCs w:val="24"/>
        </w:rPr>
        <w:t>. Ce taux élevé s'explique par la mise en place, en 1996, d'un droit pour les parents à une place d'accueil en jardin d'enfants pour leurs enfants âgés de trois à six ans, qui est effectif depuis 1999. Cette réforme s'est accompagnée d'une forte hausse du nombre de places en jardins d'enfants dans la deuxième moitié des années 1990. Néanmoins, ce taux ne signifie pas que 91% des enfants de trois à cinq ans étaient effectivement pris en charge dans le cadre des jardins d'enfants en Allemagne, car les établissements qui ont un excédent de places, notamment dans l'est du pays, ne peuvent bien évidemment accueillir que les enfants qui vivent sur place et ne peuvent donc pas compenser les districts dont le nombre de places est insuffisant. De plus, un nombre de places disponibles ne donne pas d'informations sur le nombre d'enfants réellement pris en charge. Il n'est pas possible d'avoir de données plus précises</w:t>
      </w:r>
      <w:r>
        <w:rPr>
          <w:rStyle w:val="Marquenotebasdepage"/>
          <w:rFonts w:ascii="Cambria" w:hAnsi="Cambria"/>
          <w:sz w:val="24"/>
          <w:szCs w:val="24"/>
        </w:rPr>
        <w:footnoteReference w:id="11"/>
      </w:r>
      <w:r>
        <w:rPr>
          <w:rFonts w:ascii="Cambria" w:hAnsi="Cambria"/>
          <w:sz w:val="24"/>
          <w:szCs w:val="24"/>
        </w:rPr>
        <w:t xml:space="preserve">, mais il ne fait guère de doute que le taux de 90% n'était pas atteint en Allemagne. </w:t>
      </w:r>
      <w:r w:rsidRPr="00951E6B">
        <w:rPr>
          <w:rFonts w:ascii="Cambria" w:hAnsi="Cambria"/>
          <w:sz w:val="24"/>
          <w:szCs w:val="24"/>
        </w:rPr>
        <w:t xml:space="preserve">D'après les données du </w:t>
      </w:r>
      <w:proofErr w:type="spellStart"/>
      <w:r w:rsidRPr="00951E6B">
        <w:rPr>
          <w:rStyle w:val="st"/>
          <w:rFonts w:ascii="Cambria" w:hAnsi="Cambria"/>
          <w:sz w:val="24"/>
          <w:szCs w:val="24"/>
        </w:rPr>
        <w:t>German</w:t>
      </w:r>
      <w:proofErr w:type="spellEnd"/>
      <w:r w:rsidRPr="00951E6B">
        <w:rPr>
          <w:rStyle w:val="st"/>
          <w:rFonts w:ascii="Cambria" w:hAnsi="Cambria"/>
          <w:sz w:val="24"/>
          <w:szCs w:val="24"/>
        </w:rPr>
        <w:t xml:space="preserve"> </w:t>
      </w:r>
      <w:proofErr w:type="spellStart"/>
      <w:r w:rsidRPr="00951E6B">
        <w:rPr>
          <w:rStyle w:val="st"/>
          <w:rFonts w:ascii="Cambria" w:hAnsi="Cambria"/>
          <w:sz w:val="24"/>
          <w:szCs w:val="24"/>
        </w:rPr>
        <w:t>Socio-Economic</w:t>
      </w:r>
      <w:proofErr w:type="spellEnd"/>
      <w:r w:rsidRPr="00951E6B">
        <w:rPr>
          <w:rStyle w:val="st"/>
          <w:rFonts w:ascii="Cambria" w:hAnsi="Cambria"/>
          <w:sz w:val="24"/>
          <w:szCs w:val="24"/>
        </w:rPr>
        <w:t xml:space="preserve"> Panel </w:t>
      </w:r>
      <w:proofErr w:type="spellStart"/>
      <w:r w:rsidRPr="00951E6B">
        <w:rPr>
          <w:rStyle w:val="st"/>
          <w:rFonts w:ascii="Cambria" w:hAnsi="Cambria"/>
          <w:sz w:val="24"/>
          <w:szCs w:val="24"/>
        </w:rPr>
        <w:t>Study</w:t>
      </w:r>
      <w:proofErr w:type="spellEnd"/>
      <w:r w:rsidRPr="00951E6B">
        <w:rPr>
          <w:rFonts w:ascii="Cambria" w:hAnsi="Cambria"/>
          <w:sz w:val="24"/>
          <w:szCs w:val="24"/>
        </w:rPr>
        <w:t xml:space="preserve"> (SOEP), exploitées par le DIW</w:t>
      </w:r>
      <w:r>
        <w:rPr>
          <w:rStyle w:val="Marquenotebasdepage"/>
          <w:rFonts w:ascii="Cambria" w:hAnsi="Cambria"/>
          <w:sz w:val="24"/>
          <w:szCs w:val="24"/>
        </w:rPr>
        <w:footnoteReference w:id="12"/>
      </w:r>
      <w:r w:rsidRPr="00951E6B">
        <w:rPr>
          <w:rFonts w:ascii="Cambria" w:hAnsi="Cambria"/>
          <w:sz w:val="24"/>
          <w:szCs w:val="24"/>
        </w:rPr>
        <w:t>, en 2000, respectivement 77% et 85% des enfants âgés de trois à cinq ans à l'ouest et à l'est du pays étaient accueillis en jardin d'enfants. Seuls 17% d'entre eux étaient accueillis en journée à l'ouest, contre un taux de 71% à l'est</w:t>
      </w:r>
      <w:r>
        <w:rPr>
          <w:rFonts w:ascii="Cambria" w:hAnsi="Cambria"/>
          <w:sz w:val="24"/>
          <w:szCs w:val="24"/>
        </w:rPr>
        <w:t xml:space="preserve"> (</w:t>
      </w:r>
      <w:proofErr w:type="spellStart"/>
      <w:r w:rsidRPr="00A90415">
        <w:rPr>
          <w:rFonts w:ascii="Cambria" w:hAnsi="Cambria"/>
          <w:i/>
          <w:sz w:val="24"/>
          <w:szCs w:val="24"/>
        </w:rPr>
        <w:t>Kinderbetreuung</w:t>
      </w:r>
      <w:proofErr w:type="spellEnd"/>
      <w:r w:rsidRPr="00A90415">
        <w:rPr>
          <w:rFonts w:ascii="Cambria" w:hAnsi="Cambria"/>
          <w:i/>
          <w:sz w:val="24"/>
          <w:szCs w:val="24"/>
        </w:rPr>
        <w:t xml:space="preserve"> in </w:t>
      </w:r>
      <w:proofErr w:type="spellStart"/>
      <w:r w:rsidRPr="00A90415">
        <w:rPr>
          <w:rFonts w:ascii="Cambria" w:hAnsi="Cambria"/>
          <w:i/>
          <w:sz w:val="24"/>
          <w:szCs w:val="24"/>
        </w:rPr>
        <w:t>Deutschland</w:t>
      </w:r>
      <w:proofErr w:type="spellEnd"/>
      <w:r>
        <w:rPr>
          <w:rFonts w:ascii="Cambria" w:hAnsi="Cambria"/>
          <w:sz w:val="24"/>
          <w:szCs w:val="24"/>
        </w:rPr>
        <w:t xml:space="preserve"> 2003: 22)</w:t>
      </w:r>
      <w:r w:rsidRPr="00951E6B">
        <w:rPr>
          <w:rFonts w:ascii="Cambria" w:hAnsi="Cambria"/>
          <w:sz w:val="24"/>
          <w:szCs w:val="24"/>
        </w:rPr>
        <w:t>.</w:t>
      </w:r>
    </w:p>
    <w:p w14:paraId="6CD6821E"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Mais c'est avant tout la prise en charge extérieure des enfants de moins de trois ans qui reste très en-deçà des recommandations de l'Union Européenne. En 2002, l'Allemagne ne proposait de places d'accueil que pour 8,6% des enfants âgés de moins de trois ans, soit 2,8% à l'ouest et 37% à l'est</w:t>
      </w:r>
      <w:r>
        <w:rPr>
          <w:rStyle w:val="Marquenotebasdepage"/>
          <w:rFonts w:ascii="Cambria" w:hAnsi="Cambria"/>
          <w:sz w:val="24"/>
          <w:szCs w:val="24"/>
        </w:rPr>
        <w:footnoteReference w:id="13"/>
      </w:r>
      <w:r>
        <w:rPr>
          <w:rFonts w:ascii="Cambria" w:hAnsi="Cambria"/>
          <w:sz w:val="24"/>
          <w:szCs w:val="24"/>
        </w:rPr>
        <w:t xml:space="preserve">. En d'autres termes, la prise en charge des tout-petits </w:t>
      </w:r>
      <w:r>
        <w:rPr>
          <w:rFonts w:ascii="Cambria" w:hAnsi="Cambria"/>
          <w:sz w:val="24"/>
          <w:szCs w:val="24"/>
        </w:rPr>
        <w:lastRenderedPageBreak/>
        <w:t xml:space="preserve">restait anecdotique dans l'ouest du pays, il y a dix ans, alors que les nouveaux Länder atteignaient d'ores et déjà </w:t>
      </w:r>
      <w:r w:rsidR="003C230B">
        <w:rPr>
          <w:rFonts w:ascii="Cambria" w:hAnsi="Cambria"/>
          <w:sz w:val="24"/>
          <w:szCs w:val="24"/>
        </w:rPr>
        <w:t>l</w:t>
      </w:r>
      <w:r>
        <w:rPr>
          <w:rFonts w:ascii="Cambria" w:hAnsi="Cambria"/>
          <w:sz w:val="24"/>
          <w:szCs w:val="24"/>
        </w:rPr>
        <w:t>es objectifs fixés par Bruxelles</w:t>
      </w:r>
      <w:r w:rsidR="003C230B">
        <w:rPr>
          <w:rFonts w:ascii="Cambria" w:hAnsi="Cambria"/>
          <w:sz w:val="24"/>
          <w:szCs w:val="24"/>
        </w:rPr>
        <w:t xml:space="preserve"> en terme de prise en charge des enfants</w:t>
      </w:r>
      <w:r w:rsidR="003C230B">
        <w:rPr>
          <w:rStyle w:val="Marquenotebasdepage"/>
          <w:rFonts w:ascii="Cambria" w:hAnsi="Cambria"/>
          <w:sz w:val="24"/>
          <w:szCs w:val="24"/>
        </w:rPr>
        <w:footnoteReference w:id="14"/>
      </w:r>
      <w:r>
        <w:rPr>
          <w:rFonts w:ascii="Cambria" w:hAnsi="Cambria"/>
          <w:sz w:val="24"/>
          <w:szCs w:val="24"/>
        </w:rPr>
        <w:t>.</w:t>
      </w:r>
    </w:p>
    <w:p w14:paraId="7C4AB713" w14:textId="77777777" w:rsidR="00D507C0" w:rsidRDefault="00D507C0" w:rsidP="00E71F89">
      <w:pPr>
        <w:pStyle w:val="Sansinterligne"/>
        <w:spacing w:after="120"/>
        <w:jc w:val="both"/>
        <w:rPr>
          <w:rFonts w:ascii="Cambria" w:hAnsi="Cambria"/>
          <w:sz w:val="24"/>
          <w:szCs w:val="24"/>
        </w:rPr>
      </w:pPr>
    </w:p>
    <w:p w14:paraId="595E4F9C" w14:textId="77777777" w:rsidR="00D507C0" w:rsidRDefault="00D507C0" w:rsidP="00E71F89">
      <w:pPr>
        <w:pStyle w:val="Sansinterligne"/>
        <w:spacing w:after="120"/>
        <w:jc w:val="both"/>
        <w:rPr>
          <w:rFonts w:ascii="Cambria" w:hAnsi="Cambria"/>
          <w:sz w:val="24"/>
          <w:szCs w:val="24"/>
        </w:rPr>
      </w:pPr>
    </w:p>
    <w:p w14:paraId="1220E951" w14:textId="77777777" w:rsidR="00D507C0" w:rsidRPr="00886DF9" w:rsidRDefault="00D507C0" w:rsidP="00886DF9">
      <w:pPr>
        <w:pStyle w:val="Sansinterligne"/>
        <w:numPr>
          <w:ilvl w:val="0"/>
          <w:numId w:val="7"/>
        </w:numPr>
        <w:spacing w:after="120"/>
        <w:jc w:val="both"/>
        <w:rPr>
          <w:rFonts w:ascii="Cambria" w:hAnsi="Cambria"/>
          <w:b/>
          <w:sz w:val="24"/>
          <w:szCs w:val="24"/>
        </w:rPr>
      </w:pPr>
      <w:r w:rsidRPr="00886DF9">
        <w:rPr>
          <w:rFonts w:ascii="Cambria" w:hAnsi="Cambria"/>
          <w:b/>
          <w:sz w:val="24"/>
          <w:szCs w:val="24"/>
        </w:rPr>
        <w:t>La réorientation des objectifs de politique familiale</w:t>
      </w:r>
    </w:p>
    <w:p w14:paraId="13A39382" w14:textId="77777777" w:rsidR="00D507C0" w:rsidRDefault="00D507C0" w:rsidP="00E71F89">
      <w:pPr>
        <w:pStyle w:val="Sansinterligne"/>
        <w:spacing w:after="120"/>
        <w:jc w:val="both"/>
        <w:rPr>
          <w:rFonts w:ascii="Cambria" w:hAnsi="Cambria"/>
          <w:sz w:val="24"/>
          <w:szCs w:val="24"/>
        </w:rPr>
      </w:pPr>
    </w:p>
    <w:p w14:paraId="055E95DB" w14:textId="77777777" w:rsidR="00D507C0" w:rsidRDefault="002A4872" w:rsidP="00E71F89">
      <w:pPr>
        <w:pStyle w:val="Sansinterligne"/>
        <w:spacing w:after="120"/>
        <w:jc w:val="both"/>
        <w:rPr>
          <w:rFonts w:ascii="Cambria" w:hAnsi="Cambria"/>
          <w:sz w:val="24"/>
          <w:szCs w:val="24"/>
        </w:rPr>
      </w:pPr>
      <w:r>
        <w:rPr>
          <w:rFonts w:ascii="Cambria" w:hAnsi="Cambria"/>
          <w:sz w:val="24"/>
          <w:szCs w:val="24"/>
        </w:rPr>
        <w:t>L'impact de l</w:t>
      </w:r>
      <w:r w:rsidR="00D507C0">
        <w:rPr>
          <w:rFonts w:ascii="Cambria" w:hAnsi="Cambria"/>
          <w:sz w:val="24"/>
          <w:szCs w:val="24"/>
        </w:rPr>
        <w:t xml:space="preserve">'Union Européenne dans la réorientation de la politique familiale allemande ne fait guère de doute (Dauphin, </w:t>
      </w:r>
      <w:proofErr w:type="spellStart"/>
      <w:r w:rsidR="00D507C0">
        <w:rPr>
          <w:rFonts w:ascii="Cambria" w:hAnsi="Cambria"/>
          <w:sz w:val="24"/>
          <w:szCs w:val="24"/>
        </w:rPr>
        <w:t>Letablier</w:t>
      </w:r>
      <w:proofErr w:type="spellEnd"/>
      <w:r w:rsidR="00D507C0">
        <w:rPr>
          <w:rFonts w:ascii="Cambria" w:hAnsi="Cambria"/>
          <w:sz w:val="24"/>
          <w:szCs w:val="24"/>
        </w:rPr>
        <w:t xml:space="preserve"> 2013). Le ministère allemand de la Famille se réfère ouvertement à l'Union Européenne et à ses recommandations pour justifier les réformes qui ont vu le jour depuis 2005. Ainsi, les réformes de politique familiale visent avant tout à stimuler la participation des mères à l'activité professionnelle en améliorant les conditions de conciliation entre travail et famille. Afin d'atteindre cet objectif, l'Allemagne a instauré un congé parental court sur le modèle suédois, tant vanté par l'Union Européenne, et adopté, en 2005, la loi TAG qui a pour vocation de favoriser l'essor des infrastructures d'accueil pour la petite enfance. </w:t>
      </w:r>
    </w:p>
    <w:p w14:paraId="18A7ABCE"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Entré en vigueur en 2007, le nouveau congé parental prévoit le versement d’une allocation parentale pour une durée maximale de douze mois auxquels s'ajoutent deux mois réservés au deuxième parent. Si le conjoint ne les prend pas, ils sont perdus. L’allocation parentale prend la forme d'un salaire de remplacement: elle s'élève à 65% du salaire net perçu avant la naissance de l'enfant, mais au minimum à 300 euros et au maximum à 1800 euros</w:t>
      </w:r>
      <w:r w:rsidR="002A4872">
        <w:rPr>
          <w:rStyle w:val="Marquenotebasdepage"/>
          <w:rFonts w:ascii="Cambria" w:hAnsi="Cambria"/>
          <w:sz w:val="24"/>
          <w:szCs w:val="24"/>
        </w:rPr>
        <w:footnoteReference w:id="15"/>
      </w:r>
      <w:r>
        <w:rPr>
          <w:rFonts w:ascii="Cambria" w:hAnsi="Cambria"/>
          <w:sz w:val="24"/>
          <w:szCs w:val="24"/>
        </w:rPr>
        <w:t xml:space="preserve">. L'objectif de ce congé court est d'inciter les mères à reprendre leur activité professionnelle au bout d'un an seulement, ce qui nécessite une offre de garde en conséquence. C'est la raison pour laquelle le gouvernement a décidé de favoriser le développement d'infrastructures d'accueil dès 2005, soit deux ans avant l'entrée en vigueur du nouveau congé parental. </w:t>
      </w:r>
    </w:p>
    <w:p w14:paraId="7376CEFB" w14:textId="683F7131" w:rsidR="00D507C0" w:rsidRPr="009447DA" w:rsidRDefault="00D507C0" w:rsidP="00E71F89">
      <w:pPr>
        <w:pStyle w:val="Sansinterligne"/>
        <w:spacing w:after="120"/>
        <w:jc w:val="both"/>
        <w:rPr>
          <w:rFonts w:ascii="Cambria" w:hAnsi="Cambria"/>
          <w:sz w:val="24"/>
          <w:szCs w:val="24"/>
        </w:rPr>
      </w:pPr>
      <w:r>
        <w:rPr>
          <w:rFonts w:ascii="Cambria" w:hAnsi="Cambria"/>
          <w:sz w:val="24"/>
          <w:szCs w:val="24"/>
        </w:rPr>
        <w:t>L</w:t>
      </w:r>
      <w:r w:rsidRPr="009447DA">
        <w:rPr>
          <w:rFonts w:ascii="Cambria" w:hAnsi="Cambria"/>
          <w:sz w:val="24"/>
          <w:szCs w:val="24"/>
        </w:rPr>
        <w:t>a loi TAG pour le développement de l'offre de garde (</w:t>
      </w:r>
      <w:proofErr w:type="spellStart"/>
      <w:r w:rsidRPr="00C60546">
        <w:rPr>
          <w:rFonts w:ascii="Cambria" w:hAnsi="Cambria"/>
          <w:i/>
          <w:sz w:val="24"/>
          <w:szCs w:val="24"/>
        </w:rPr>
        <w:t>Tagesbetreuungsausbaugesetz</w:t>
      </w:r>
      <w:proofErr w:type="spellEnd"/>
      <w:r w:rsidRPr="009447DA">
        <w:rPr>
          <w:rFonts w:ascii="Cambria" w:hAnsi="Cambria"/>
          <w:sz w:val="24"/>
          <w:szCs w:val="24"/>
        </w:rPr>
        <w:t>) prévoit la mise en place d'un fonds d'aide de l'Etat fédéral</w:t>
      </w:r>
      <w:r>
        <w:rPr>
          <w:rFonts w:ascii="Cambria" w:hAnsi="Cambria"/>
          <w:sz w:val="24"/>
          <w:szCs w:val="24"/>
        </w:rPr>
        <w:t xml:space="preserve"> d'un montant de 1,5 milliard d'euros par an,</w:t>
      </w:r>
      <w:r w:rsidRPr="009447DA">
        <w:rPr>
          <w:rFonts w:ascii="Cambria" w:hAnsi="Cambria"/>
          <w:sz w:val="24"/>
          <w:szCs w:val="24"/>
        </w:rPr>
        <w:t xml:space="preserve"> </w:t>
      </w:r>
      <w:r>
        <w:rPr>
          <w:rFonts w:ascii="Cambria" w:hAnsi="Cambria"/>
          <w:sz w:val="24"/>
          <w:szCs w:val="24"/>
        </w:rPr>
        <w:t xml:space="preserve">à destination des communes, </w:t>
      </w:r>
      <w:r w:rsidRPr="009447DA">
        <w:rPr>
          <w:rFonts w:ascii="Cambria" w:hAnsi="Cambria"/>
          <w:sz w:val="24"/>
          <w:szCs w:val="24"/>
        </w:rPr>
        <w:t xml:space="preserve">afin de contribuer au financement </w:t>
      </w:r>
      <w:r w:rsidR="005E1471">
        <w:rPr>
          <w:rFonts w:ascii="Cambria" w:hAnsi="Cambria"/>
          <w:sz w:val="24"/>
          <w:szCs w:val="24"/>
        </w:rPr>
        <w:t xml:space="preserve">de la création et de la gestion </w:t>
      </w:r>
      <w:r w:rsidRPr="009447DA">
        <w:rPr>
          <w:rFonts w:ascii="Cambria" w:hAnsi="Cambria"/>
          <w:sz w:val="24"/>
          <w:szCs w:val="24"/>
        </w:rPr>
        <w:t>d'infrastructures d'accueil</w:t>
      </w:r>
      <w:r>
        <w:rPr>
          <w:rFonts w:ascii="Cambria" w:hAnsi="Cambria"/>
          <w:sz w:val="24"/>
          <w:szCs w:val="24"/>
        </w:rPr>
        <w:t xml:space="preserve"> pour les enfants de moins de trois ans (</w:t>
      </w:r>
      <w:proofErr w:type="spellStart"/>
      <w:r w:rsidRPr="00255950">
        <w:rPr>
          <w:rFonts w:ascii="Cambria" w:hAnsi="Cambria"/>
          <w:sz w:val="24"/>
          <w:szCs w:val="24"/>
        </w:rPr>
        <w:t>Bundesministerium</w:t>
      </w:r>
      <w:proofErr w:type="spellEnd"/>
      <w:r w:rsidRPr="00255950">
        <w:rPr>
          <w:rFonts w:ascii="Cambria" w:hAnsi="Cambria"/>
          <w:sz w:val="24"/>
          <w:szCs w:val="24"/>
        </w:rPr>
        <w:t xml:space="preserve"> </w:t>
      </w:r>
      <w:proofErr w:type="spellStart"/>
      <w:r w:rsidRPr="00255950">
        <w:rPr>
          <w:rFonts w:ascii="Cambria" w:hAnsi="Cambria"/>
          <w:sz w:val="24"/>
          <w:szCs w:val="24"/>
        </w:rPr>
        <w:t>für</w:t>
      </w:r>
      <w:proofErr w:type="spellEnd"/>
      <w:r w:rsidRPr="00255950">
        <w:rPr>
          <w:rFonts w:ascii="Cambria" w:hAnsi="Cambria"/>
          <w:sz w:val="24"/>
          <w:szCs w:val="24"/>
        </w:rPr>
        <w:t xml:space="preserve"> </w:t>
      </w:r>
      <w:proofErr w:type="spellStart"/>
      <w:r w:rsidRPr="00255950">
        <w:rPr>
          <w:rFonts w:ascii="Cambria" w:hAnsi="Cambria"/>
          <w:sz w:val="24"/>
          <w:szCs w:val="24"/>
        </w:rPr>
        <w:t>Familie</w:t>
      </w:r>
      <w:proofErr w:type="spellEnd"/>
      <w:r w:rsidRPr="00255950">
        <w:rPr>
          <w:rFonts w:ascii="Cambria" w:hAnsi="Cambria"/>
          <w:sz w:val="24"/>
          <w:szCs w:val="24"/>
        </w:rPr>
        <w:t xml:space="preserve">, </w:t>
      </w:r>
      <w:proofErr w:type="spellStart"/>
      <w:r w:rsidRPr="00255950">
        <w:rPr>
          <w:rFonts w:ascii="Cambria" w:hAnsi="Cambria"/>
          <w:sz w:val="24"/>
          <w:szCs w:val="24"/>
        </w:rPr>
        <w:t>Senioren</w:t>
      </w:r>
      <w:proofErr w:type="spellEnd"/>
      <w:r w:rsidRPr="00255950">
        <w:rPr>
          <w:rFonts w:ascii="Cambria" w:hAnsi="Cambria"/>
          <w:sz w:val="24"/>
          <w:szCs w:val="24"/>
        </w:rPr>
        <w:t xml:space="preserve">, </w:t>
      </w:r>
      <w:proofErr w:type="spellStart"/>
      <w:r w:rsidRPr="00255950">
        <w:rPr>
          <w:rFonts w:ascii="Cambria" w:hAnsi="Cambria"/>
          <w:sz w:val="24"/>
          <w:szCs w:val="24"/>
        </w:rPr>
        <w:t>Frauen</w:t>
      </w:r>
      <w:proofErr w:type="spellEnd"/>
      <w:r w:rsidRPr="00255950">
        <w:rPr>
          <w:rFonts w:ascii="Cambria" w:hAnsi="Cambria"/>
          <w:sz w:val="24"/>
          <w:szCs w:val="24"/>
        </w:rPr>
        <w:t xml:space="preserve"> </w:t>
      </w:r>
      <w:proofErr w:type="spellStart"/>
      <w:r w:rsidRPr="00255950">
        <w:rPr>
          <w:rFonts w:ascii="Cambria" w:hAnsi="Cambria"/>
          <w:sz w:val="24"/>
          <w:szCs w:val="24"/>
        </w:rPr>
        <w:t>und</w:t>
      </w:r>
      <w:proofErr w:type="spellEnd"/>
      <w:r w:rsidRPr="00255950">
        <w:rPr>
          <w:rFonts w:ascii="Cambria" w:hAnsi="Cambria"/>
          <w:sz w:val="24"/>
          <w:szCs w:val="24"/>
        </w:rPr>
        <w:t xml:space="preserve"> </w:t>
      </w:r>
      <w:proofErr w:type="spellStart"/>
      <w:r w:rsidRPr="00255950">
        <w:rPr>
          <w:rFonts w:ascii="Cambria" w:hAnsi="Cambria"/>
          <w:sz w:val="24"/>
          <w:szCs w:val="24"/>
        </w:rPr>
        <w:t>Jugend</w:t>
      </w:r>
      <w:proofErr w:type="spellEnd"/>
      <w:r w:rsidRPr="00255950">
        <w:rPr>
          <w:rFonts w:ascii="Cambria" w:hAnsi="Cambria"/>
          <w:sz w:val="24"/>
          <w:szCs w:val="24"/>
        </w:rPr>
        <w:t>, 2004</w:t>
      </w:r>
      <w:r>
        <w:rPr>
          <w:rFonts w:ascii="Cambria" w:hAnsi="Cambria"/>
          <w:sz w:val="24"/>
          <w:szCs w:val="24"/>
        </w:rPr>
        <w:t>)</w:t>
      </w:r>
      <w:r w:rsidRPr="009447DA">
        <w:rPr>
          <w:rFonts w:ascii="Cambria" w:hAnsi="Cambria"/>
          <w:sz w:val="24"/>
          <w:szCs w:val="24"/>
        </w:rPr>
        <w:t xml:space="preserve">. L'objectif est de couvrir les besoins estimés à 35% </w:t>
      </w:r>
      <w:r>
        <w:rPr>
          <w:rFonts w:ascii="Cambria" w:hAnsi="Cambria"/>
          <w:sz w:val="24"/>
          <w:szCs w:val="24"/>
        </w:rPr>
        <w:t>des enfants de moins de trois ans, d'ici 2010, ce qui correspond assez précisément aux recommandations de l'Union Européenne qui préconisait que soient pris en charge à l'extérieur, d'ici 2010, un tiers des enfants âgés de moins de trois ans</w:t>
      </w:r>
      <w:r w:rsidR="002A4872">
        <w:rPr>
          <w:rStyle w:val="Marquenotebasdepage"/>
          <w:rFonts w:ascii="Cambria" w:hAnsi="Cambria"/>
          <w:sz w:val="24"/>
          <w:szCs w:val="24"/>
        </w:rPr>
        <w:footnoteReference w:id="16"/>
      </w:r>
      <w:r>
        <w:rPr>
          <w:rFonts w:ascii="Cambria" w:hAnsi="Cambria"/>
          <w:sz w:val="24"/>
          <w:szCs w:val="24"/>
        </w:rPr>
        <w:t>.</w:t>
      </w:r>
    </w:p>
    <w:p w14:paraId="2FEF6886" w14:textId="77777777" w:rsidR="00D507C0" w:rsidRDefault="00D507C0" w:rsidP="00E71F89">
      <w:pPr>
        <w:pStyle w:val="Sansinterligne"/>
        <w:spacing w:after="120"/>
        <w:jc w:val="both"/>
        <w:rPr>
          <w:rFonts w:ascii="Cambria" w:hAnsi="Cambria"/>
          <w:sz w:val="24"/>
          <w:szCs w:val="24"/>
        </w:rPr>
      </w:pPr>
    </w:p>
    <w:p w14:paraId="0E89A18B" w14:textId="46BBA4F2" w:rsidR="00D507C0" w:rsidRDefault="00D507C0" w:rsidP="00E71F89">
      <w:pPr>
        <w:pStyle w:val="Sansinterligne"/>
        <w:spacing w:after="120"/>
        <w:jc w:val="both"/>
        <w:rPr>
          <w:rFonts w:ascii="Cambria" w:hAnsi="Cambria"/>
          <w:sz w:val="24"/>
          <w:szCs w:val="24"/>
        </w:rPr>
      </w:pPr>
      <w:r>
        <w:rPr>
          <w:rFonts w:ascii="Cambria" w:hAnsi="Cambria"/>
          <w:sz w:val="24"/>
          <w:szCs w:val="24"/>
        </w:rPr>
        <w:lastRenderedPageBreak/>
        <w:t>Améliorer ainsi les conditions de conciliation entre travail et famille doit permettre de répondre aux recomm</w:t>
      </w:r>
      <w:r w:rsidR="00C60546">
        <w:rPr>
          <w:rFonts w:ascii="Cambria" w:hAnsi="Cambria"/>
          <w:sz w:val="24"/>
          <w:szCs w:val="24"/>
        </w:rPr>
        <w:t>andations de l'Union Européenne</w:t>
      </w:r>
      <w:r>
        <w:rPr>
          <w:rFonts w:ascii="Cambria" w:hAnsi="Cambria"/>
          <w:sz w:val="24"/>
          <w:szCs w:val="24"/>
        </w:rPr>
        <w:t>, mais aussi de favoriser les naissances en levant un des obstacles majeurs à la fécondité, et de lutter ainsi contre le vieillissement démographique (</w:t>
      </w:r>
      <w:proofErr w:type="spellStart"/>
      <w:r w:rsidRPr="0047557B">
        <w:rPr>
          <w:rFonts w:ascii="Cambria" w:hAnsi="Cambria"/>
          <w:sz w:val="24"/>
          <w:szCs w:val="24"/>
        </w:rPr>
        <w:t>Bundesministerium</w:t>
      </w:r>
      <w:proofErr w:type="spellEnd"/>
      <w:r w:rsidRPr="0047557B">
        <w:rPr>
          <w:rFonts w:ascii="Cambria" w:hAnsi="Cambria"/>
          <w:sz w:val="24"/>
          <w:szCs w:val="24"/>
        </w:rPr>
        <w:t xml:space="preserve"> </w:t>
      </w:r>
      <w:proofErr w:type="spellStart"/>
      <w:r w:rsidRPr="0047557B">
        <w:rPr>
          <w:rFonts w:ascii="Cambria" w:hAnsi="Cambria"/>
          <w:sz w:val="24"/>
          <w:szCs w:val="24"/>
        </w:rPr>
        <w:t>für</w:t>
      </w:r>
      <w:proofErr w:type="spellEnd"/>
      <w:r w:rsidRPr="0047557B">
        <w:rPr>
          <w:rFonts w:ascii="Cambria" w:hAnsi="Cambria"/>
          <w:sz w:val="24"/>
          <w:szCs w:val="24"/>
        </w:rPr>
        <w:t xml:space="preserve"> </w:t>
      </w:r>
      <w:proofErr w:type="spellStart"/>
      <w:r w:rsidRPr="0047557B">
        <w:rPr>
          <w:rFonts w:ascii="Cambria" w:hAnsi="Cambria"/>
          <w:sz w:val="24"/>
          <w:szCs w:val="24"/>
        </w:rPr>
        <w:t>Familie</w:t>
      </w:r>
      <w:proofErr w:type="spellEnd"/>
      <w:r w:rsidRPr="0047557B">
        <w:rPr>
          <w:rFonts w:ascii="Cambria" w:hAnsi="Cambria"/>
          <w:sz w:val="24"/>
          <w:szCs w:val="24"/>
        </w:rPr>
        <w:t xml:space="preserve">, </w:t>
      </w:r>
      <w:proofErr w:type="spellStart"/>
      <w:r w:rsidRPr="0047557B">
        <w:rPr>
          <w:rFonts w:ascii="Cambria" w:hAnsi="Cambria"/>
          <w:sz w:val="24"/>
          <w:szCs w:val="24"/>
        </w:rPr>
        <w:t>Senioren</w:t>
      </w:r>
      <w:proofErr w:type="spellEnd"/>
      <w:r w:rsidRPr="0047557B">
        <w:rPr>
          <w:rFonts w:ascii="Cambria" w:hAnsi="Cambria"/>
          <w:sz w:val="24"/>
          <w:szCs w:val="24"/>
        </w:rPr>
        <w:t xml:space="preserve">, </w:t>
      </w:r>
      <w:proofErr w:type="spellStart"/>
      <w:r w:rsidRPr="0047557B">
        <w:rPr>
          <w:rFonts w:ascii="Cambria" w:hAnsi="Cambria"/>
          <w:sz w:val="24"/>
          <w:szCs w:val="24"/>
        </w:rPr>
        <w:t>Frauen</w:t>
      </w:r>
      <w:proofErr w:type="spellEnd"/>
      <w:r w:rsidRPr="0047557B">
        <w:rPr>
          <w:rFonts w:ascii="Cambria" w:hAnsi="Cambria"/>
          <w:sz w:val="24"/>
          <w:szCs w:val="24"/>
        </w:rPr>
        <w:t xml:space="preserve"> </w:t>
      </w:r>
      <w:proofErr w:type="spellStart"/>
      <w:r w:rsidRPr="0047557B">
        <w:rPr>
          <w:rFonts w:ascii="Cambria" w:hAnsi="Cambria"/>
          <w:sz w:val="24"/>
          <w:szCs w:val="24"/>
        </w:rPr>
        <w:t>und</w:t>
      </w:r>
      <w:proofErr w:type="spellEnd"/>
      <w:r w:rsidRPr="0047557B">
        <w:rPr>
          <w:rFonts w:ascii="Cambria" w:hAnsi="Cambria"/>
          <w:sz w:val="24"/>
          <w:szCs w:val="24"/>
        </w:rPr>
        <w:t xml:space="preserve"> </w:t>
      </w:r>
      <w:proofErr w:type="spellStart"/>
      <w:r w:rsidRPr="0047557B">
        <w:rPr>
          <w:rFonts w:ascii="Cambria" w:hAnsi="Cambria"/>
          <w:sz w:val="24"/>
          <w:szCs w:val="24"/>
        </w:rPr>
        <w:t>Jugend</w:t>
      </w:r>
      <w:proofErr w:type="spellEnd"/>
      <w:r w:rsidRPr="0047557B">
        <w:rPr>
          <w:rFonts w:ascii="Cambria" w:hAnsi="Cambria"/>
          <w:sz w:val="24"/>
          <w:szCs w:val="24"/>
        </w:rPr>
        <w:t xml:space="preserve"> 2006</w:t>
      </w:r>
      <w:r>
        <w:rPr>
          <w:rFonts w:ascii="Cambria" w:hAnsi="Cambria"/>
          <w:sz w:val="24"/>
          <w:szCs w:val="24"/>
        </w:rPr>
        <w:t>). Il s'agit également d'œuvrer dans le sens d'une plus grande égalité entre hommes et femmes aussi bien sur le plan économique, via l'intégration croissante des femmes sur le marché du travail, que sur le plan familial en incitant les pères à participer au congé parental. Le maintien d'un deuxième salaire au sein des familles doit aussi permettre de diminuer le risque de pauvreté des familles, et en particulier des enfants. La prise en charge extérieure des enfants, qui est le corollaire du maintien en activité des mères, a pour vocation de favoriser l'égalité des chances en permettant aux enfants de développer, dès le plus jeune âge, des compétences utiles pour leur scolarité future (</w:t>
      </w:r>
      <w:proofErr w:type="spellStart"/>
      <w:r w:rsidRPr="00933228">
        <w:rPr>
          <w:rFonts w:ascii="Cambria" w:hAnsi="Cambria"/>
          <w:sz w:val="24"/>
          <w:szCs w:val="24"/>
        </w:rPr>
        <w:t>Bundesministerium</w:t>
      </w:r>
      <w:proofErr w:type="spellEnd"/>
      <w:r w:rsidRPr="00933228">
        <w:rPr>
          <w:rFonts w:ascii="Cambria" w:hAnsi="Cambria"/>
          <w:sz w:val="24"/>
          <w:szCs w:val="24"/>
        </w:rPr>
        <w:t xml:space="preserve"> </w:t>
      </w:r>
      <w:proofErr w:type="spellStart"/>
      <w:r w:rsidRPr="00933228">
        <w:rPr>
          <w:rFonts w:ascii="Cambria" w:hAnsi="Cambria"/>
          <w:sz w:val="24"/>
          <w:szCs w:val="24"/>
        </w:rPr>
        <w:t>für</w:t>
      </w:r>
      <w:proofErr w:type="spellEnd"/>
      <w:r w:rsidRPr="00933228">
        <w:rPr>
          <w:rFonts w:ascii="Cambria" w:hAnsi="Cambria"/>
          <w:sz w:val="24"/>
          <w:szCs w:val="24"/>
        </w:rPr>
        <w:t xml:space="preserve"> </w:t>
      </w:r>
      <w:proofErr w:type="spellStart"/>
      <w:r w:rsidRPr="00933228">
        <w:rPr>
          <w:rFonts w:ascii="Cambria" w:hAnsi="Cambria"/>
          <w:sz w:val="24"/>
          <w:szCs w:val="24"/>
        </w:rPr>
        <w:t>Familien</w:t>
      </w:r>
      <w:proofErr w:type="spellEnd"/>
      <w:r w:rsidRPr="00933228">
        <w:rPr>
          <w:rFonts w:ascii="Cambria" w:hAnsi="Cambria"/>
          <w:sz w:val="24"/>
          <w:szCs w:val="24"/>
        </w:rPr>
        <w:t xml:space="preserve">, </w:t>
      </w:r>
      <w:proofErr w:type="spellStart"/>
      <w:r w:rsidRPr="00933228">
        <w:rPr>
          <w:rFonts w:ascii="Cambria" w:hAnsi="Cambria"/>
          <w:sz w:val="24"/>
          <w:szCs w:val="24"/>
        </w:rPr>
        <w:t>Senioren</w:t>
      </w:r>
      <w:proofErr w:type="spellEnd"/>
      <w:r w:rsidRPr="00933228">
        <w:rPr>
          <w:rFonts w:ascii="Cambria" w:hAnsi="Cambria"/>
          <w:sz w:val="24"/>
          <w:szCs w:val="24"/>
        </w:rPr>
        <w:t xml:space="preserve">, </w:t>
      </w:r>
      <w:proofErr w:type="spellStart"/>
      <w:r w:rsidRPr="00933228">
        <w:rPr>
          <w:rFonts w:ascii="Cambria" w:hAnsi="Cambria"/>
          <w:sz w:val="24"/>
          <w:szCs w:val="24"/>
        </w:rPr>
        <w:t>Frauen</w:t>
      </w:r>
      <w:proofErr w:type="spellEnd"/>
      <w:r w:rsidRPr="00933228">
        <w:rPr>
          <w:rFonts w:ascii="Cambria" w:hAnsi="Cambria"/>
          <w:sz w:val="24"/>
          <w:szCs w:val="24"/>
        </w:rPr>
        <w:t xml:space="preserve"> </w:t>
      </w:r>
      <w:proofErr w:type="spellStart"/>
      <w:r w:rsidRPr="00933228">
        <w:rPr>
          <w:rFonts w:ascii="Cambria" w:hAnsi="Cambria"/>
          <w:sz w:val="24"/>
          <w:szCs w:val="24"/>
        </w:rPr>
        <w:t>und</w:t>
      </w:r>
      <w:proofErr w:type="spellEnd"/>
      <w:r w:rsidRPr="00933228">
        <w:rPr>
          <w:rFonts w:ascii="Cambria" w:hAnsi="Cambria"/>
          <w:sz w:val="24"/>
          <w:szCs w:val="24"/>
        </w:rPr>
        <w:t xml:space="preserve"> </w:t>
      </w:r>
      <w:proofErr w:type="spellStart"/>
      <w:r w:rsidRPr="00933228">
        <w:rPr>
          <w:rFonts w:ascii="Cambria" w:hAnsi="Cambria"/>
          <w:sz w:val="24"/>
          <w:szCs w:val="24"/>
        </w:rPr>
        <w:t>Jugend</w:t>
      </w:r>
      <w:proofErr w:type="spellEnd"/>
      <w:r>
        <w:rPr>
          <w:rFonts w:ascii="Cambria" w:hAnsi="Cambria"/>
          <w:sz w:val="24"/>
          <w:szCs w:val="24"/>
        </w:rPr>
        <w:t xml:space="preserve"> 2008). Enfin, comme le demandent de plus en plus les fédérations patronales allemandes, l'intégration des mères dans le monde professionnel permet de mettre en valeur les qualifications qu'elles ont acquises et de répondre à une demande du marché du travail dans un contexte de déclin démographique (</w:t>
      </w:r>
      <w:proofErr w:type="spellStart"/>
      <w:r>
        <w:rPr>
          <w:rFonts w:ascii="Cambria" w:hAnsi="Cambria"/>
          <w:sz w:val="24"/>
          <w:szCs w:val="24"/>
        </w:rPr>
        <w:t>Fagnani</w:t>
      </w:r>
      <w:proofErr w:type="spellEnd"/>
      <w:r>
        <w:rPr>
          <w:rFonts w:ascii="Cambria" w:hAnsi="Cambria"/>
          <w:sz w:val="24"/>
          <w:szCs w:val="24"/>
        </w:rPr>
        <w:t xml:space="preserve"> 2010). Cet accent mis sur la dimension économique est particulièrement mis en lumière par </w:t>
      </w:r>
      <w:proofErr w:type="spellStart"/>
      <w:r>
        <w:rPr>
          <w:rFonts w:ascii="Cambria" w:hAnsi="Cambria"/>
          <w:sz w:val="24"/>
          <w:szCs w:val="24"/>
        </w:rPr>
        <w:t>Silke</w:t>
      </w:r>
      <w:proofErr w:type="spellEnd"/>
      <w:r>
        <w:rPr>
          <w:rFonts w:ascii="Cambria" w:hAnsi="Cambria"/>
          <w:sz w:val="24"/>
          <w:szCs w:val="24"/>
        </w:rPr>
        <w:t xml:space="preserve"> </w:t>
      </w:r>
      <w:proofErr w:type="spellStart"/>
      <w:r>
        <w:rPr>
          <w:rFonts w:ascii="Cambria" w:hAnsi="Cambria"/>
          <w:sz w:val="24"/>
          <w:szCs w:val="24"/>
        </w:rPr>
        <w:t>Bothfeld</w:t>
      </w:r>
      <w:proofErr w:type="spellEnd"/>
      <w:r>
        <w:rPr>
          <w:rFonts w:ascii="Cambria" w:hAnsi="Cambria"/>
          <w:sz w:val="24"/>
          <w:szCs w:val="24"/>
        </w:rPr>
        <w:t xml:space="preserve"> (2009 : 98) : « </w:t>
      </w:r>
      <w:r w:rsidRPr="003C5D13">
        <w:rPr>
          <w:rFonts w:ascii="Cambria" w:hAnsi="Cambria"/>
          <w:i/>
          <w:sz w:val="24"/>
          <w:szCs w:val="24"/>
        </w:rPr>
        <w:t>Si les femmes demeurent objet d'intervention publique, c'est sous l'angle du développement de leurs qualifications et de leurs capacités de travail (leur "employabilité"). Cette évolution traduit un changement de perspective concernant la perception des causes de l'inégalité: ce ne sont plus les structures sociales mais les déficits des femmes (en termes de compétences, de capacité de travail, de disponibilité) et leur valeur économique qui sont considérés comme objet d'intervention. Cette nouvelle perspective est l'expression de l'idée d'investissement social, principe de référence de la politique sociale actuelle, selon lequel les dépenses sociales doivent produire des résultats à moyen terme. Autrement dit, l'action publique ne repose plus sur le rééquilibrage entre des groupes sociaux et le grand principe n'est plus la justice sociale ou la participation égale, mais la prévention face au risque de perte de capital humain</w:t>
      </w:r>
      <w:r>
        <w:rPr>
          <w:rFonts w:ascii="Cambria" w:hAnsi="Cambria"/>
          <w:sz w:val="24"/>
          <w:szCs w:val="24"/>
        </w:rPr>
        <w:t> »</w:t>
      </w:r>
      <w:r w:rsidRPr="003C5D13">
        <w:rPr>
          <w:rFonts w:ascii="Cambria" w:hAnsi="Cambria"/>
          <w:i/>
          <w:sz w:val="24"/>
          <w:szCs w:val="24"/>
        </w:rPr>
        <w:t xml:space="preserve">. </w:t>
      </w:r>
      <w:r>
        <w:rPr>
          <w:rFonts w:ascii="Cambria" w:hAnsi="Cambria"/>
          <w:sz w:val="24"/>
          <w:szCs w:val="24"/>
        </w:rPr>
        <w:t>Or ces objectifs correspondent très exactement à ceux affichés par l'Union Européenne qui, de plus en plus, met l'accent sur la notion d'investissement social, de « </w:t>
      </w:r>
      <w:r w:rsidRPr="00261387">
        <w:rPr>
          <w:rFonts w:ascii="Cambria" w:hAnsi="Cambria"/>
          <w:i/>
          <w:sz w:val="24"/>
          <w:szCs w:val="24"/>
        </w:rPr>
        <w:t>facteur productif</w:t>
      </w:r>
      <w:r>
        <w:rPr>
          <w:rFonts w:ascii="Cambria" w:hAnsi="Cambria"/>
          <w:sz w:val="24"/>
          <w:szCs w:val="24"/>
        </w:rPr>
        <w:t> » (Daly 2012: 94) que représente la politique de soutien aux femmes et aux enfants, qu'il s'agisse de mesure</w:t>
      </w:r>
      <w:r w:rsidR="00144A6C">
        <w:rPr>
          <w:rFonts w:ascii="Cambria" w:hAnsi="Cambria"/>
          <w:sz w:val="24"/>
          <w:szCs w:val="24"/>
        </w:rPr>
        <w:t>s</w:t>
      </w:r>
      <w:r>
        <w:rPr>
          <w:rFonts w:ascii="Cambria" w:hAnsi="Cambria"/>
          <w:sz w:val="24"/>
          <w:szCs w:val="24"/>
        </w:rPr>
        <w:t xml:space="preserve"> en faveur de l'égalité hommes-femmes, de la politique de conciliation entre travail et famille ou du développement de la prise en charge des enfants. La politique familiale apparaît ainsi comme un instrument devant permettre d'améliorer les performances économiques en Europe à court ou à moyen terme. </w:t>
      </w:r>
    </w:p>
    <w:p w14:paraId="51070233" w14:textId="7A177376" w:rsidR="00D507C0" w:rsidRPr="00FF6BC6" w:rsidRDefault="00D507C0" w:rsidP="00E71F89">
      <w:pPr>
        <w:pStyle w:val="Sansinterligne"/>
        <w:spacing w:after="120"/>
        <w:jc w:val="both"/>
        <w:rPr>
          <w:rFonts w:ascii="Cambria" w:hAnsi="Cambria"/>
          <w:sz w:val="24"/>
          <w:szCs w:val="24"/>
        </w:rPr>
      </w:pPr>
      <w:r>
        <w:rPr>
          <w:rFonts w:ascii="Cambria" w:hAnsi="Cambria"/>
          <w:sz w:val="24"/>
          <w:szCs w:val="24"/>
        </w:rPr>
        <w:t xml:space="preserve">Pour finir, le gouvernement allemand a réformé en profondeur la politique de l'emploi, afin de lutter contre le chômage et les effets du vieillissement démographique. </w:t>
      </w:r>
      <w:r w:rsidRPr="004306C0">
        <w:rPr>
          <w:rFonts w:ascii="Cambria" w:hAnsi="Cambria"/>
          <w:sz w:val="24"/>
          <w:szCs w:val="24"/>
        </w:rPr>
        <w:t xml:space="preserve">Les lois </w:t>
      </w:r>
      <w:proofErr w:type="spellStart"/>
      <w:r w:rsidRPr="004306C0">
        <w:rPr>
          <w:rFonts w:ascii="Cambria" w:hAnsi="Cambria"/>
          <w:sz w:val="24"/>
          <w:szCs w:val="24"/>
        </w:rPr>
        <w:t>Hartz</w:t>
      </w:r>
      <w:proofErr w:type="spellEnd"/>
      <w:r w:rsidRPr="004306C0">
        <w:rPr>
          <w:rFonts w:ascii="Cambria" w:hAnsi="Cambria"/>
          <w:sz w:val="24"/>
          <w:szCs w:val="24"/>
        </w:rPr>
        <w:t>, mises en place sous le gouvernement Schröder, ont accru la pression sur les chômeurs, par la réduction des indemnités et l'introduction de sanctions, et les ont incité</w:t>
      </w:r>
      <w:r w:rsidR="00C60546">
        <w:rPr>
          <w:rFonts w:ascii="Cambria" w:hAnsi="Cambria"/>
          <w:sz w:val="24"/>
          <w:szCs w:val="24"/>
        </w:rPr>
        <w:t>s</w:t>
      </w:r>
      <w:r w:rsidRPr="004306C0">
        <w:rPr>
          <w:rFonts w:ascii="Cambria" w:hAnsi="Cambria"/>
          <w:sz w:val="24"/>
          <w:szCs w:val="24"/>
        </w:rPr>
        <w:t xml:space="preserve">, par là, à chercher un emploi rapidement. Ces réformes </w:t>
      </w:r>
      <w:r>
        <w:rPr>
          <w:rFonts w:ascii="Cambria" w:hAnsi="Cambria"/>
          <w:sz w:val="24"/>
          <w:szCs w:val="24"/>
        </w:rPr>
        <w:t>ne s'adressaient pas spécifiquement aux femmes. Elles visaient plus particulièrement les</w:t>
      </w:r>
      <w:r w:rsidRPr="004306C0">
        <w:rPr>
          <w:rFonts w:ascii="Cambria" w:hAnsi="Cambria"/>
          <w:sz w:val="24"/>
          <w:szCs w:val="24"/>
        </w:rPr>
        <w:t xml:space="preserve"> plus jeunes et </w:t>
      </w:r>
      <w:r>
        <w:rPr>
          <w:rFonts w:ascii="Cambria" w:hAnsi="Cambria"/>
          <w:sz w:val="24"/>
          <w:szCs w:val="24"/>
        </w:rPr>
        <w:t>les</w:t>
      </w:r>
      <w:r w:rsidRPr="004306C0">
        <w:rPr>
          <w:rFonts w:ascii="Cambria" w:hAnsi="Cambria"/>
          <w:sz w:val="24"/>
          <w:szCs w:val="24"/>
        </w:rPr>
        <w:t xml:space="preserve"> moins qualifiés, </w:t>
      </w:r>
      <w:r>
        <w:rPr>
          <w:rFonts w:ascii="Cambria" w:hAnsi="Cambria"/>
          <w:sz w:val="24"/>
          <w:szCs w:val="24"/>
        </w:rPr>
        <w:t>mais aussi les</w:t>
      </w:r>
      <w:r w:rsidRPr="004306C0">
        <w:rPr>
          <w:rFonts w:ascii="Cambria" w:hAnsi="Cambria"/>
          <w:sz w:val="24"/>
          <w:szCs w:val="24"/>
        </w:rPr>
        <w:t xml:space="preserve"> chômeurs longue durée et </w:t>
      </w:r>
      <w:r>
        <w:rPr>
          <w:rFonts w:ascii="Cambria" w:hAnsi="Cambria"/>
          <w:sz w:val="24"/>
          <w:szCs w:val="24"/>
        </w:rPr>
        <w:t>les</w:t>
      </w:r>
      <w:r w:rsidRPr="004306C0">
        <w:rPr>
          <w:rFonts w:ascii="Cambria" w:hAnsi="Cambria"/>
          <w:sz w:val="24"/>
          <w:szCs w:val="24"/>
        </w:rPr>
        <w:t xml:space="preserve"> seniors (</w:t>
      </w:r>
      <w:proofErr w:type="spellStart"/>
      <w:r w:rsidRPr="004306C0">
        <w:rPr>
          <w:rFonts w:ascii="Cambria" w:hAnsi="Cambria"/>
          <w:sz w:val="24"/>
          <w:szCs w:val="24"/>
        </w:rPr>
        <w:t>Lestrade</w:t>
      </w:r>
      <w:proofErr w:type="spellEnd"/>
      <w:r w:rsidR="00C80DCC">
        <w:rPr>
          <w:rFonts w:ascii="Cambria" w:hAnsi="Cambria"/>
          <w:sz w:val="24"/>
          <w:szCs w:val="24"/>
        </w:rPr>
        <w:t xml:space="preserve"> 2009). Si c</w:t>
      </w:r>
      <w:r>
        <w:rPr>
          <w:rFonts w:ascii="Cambria" w:hAnsi="Cambria"/>
          <w:sz w:val="24"/>
          <w:szCs w:val="24"/>
        </w:rPr>
        <w:t>es réformes</w:t>
      </w:r>
      <w:r w:rsidR="00C80DCC">
        <w:rPr>
          <w:rFonts w:ascii="Cambria" w:hAnsi="Cambria"/>
          <w:sz w:val="24"/>
          <w:szCs w:val="24"/>
        </w:rPr>
        <w:t xml:space="preserve"> res</w:t>
      </w:r>
      <w:r w:rsidR="00C438B7">
        <w:rPr>
          <w:rFonts w:ascii="Cambria" w:hAnsi="Cambria"/>
          <w:sz w:val="24"/>
          <w:szCs w:val="24"/>
        </w:rPr>
        <w:t>tent très controversées, dans la</w:t>
      </w:r>
      <w:r w:rsidR="00C80DCC">
        <w:rPr>
          <w:rFonts w:ascii="Cambria" w:hAnsi="Cambria"/>
          <w:sz w:val="24"/>
          <w:szCs w:val="24"/>
        </w:rPr>
        <w:t xml:space="preserve"> mesure où elles ont accentué la précarité de l’emploi et se sont accompagnées d’une hausse du taux de pauvreté en Allemagne, elles</w:t>
      </w:r>
      <w:r>
        <w:rPr>
          <w:rFonts w:ascii="Cambria" w:hAnsi="Cambria"/>
          <w:sz w:val="24"/>
          <w:szCs w:val="24"/>
        </w:rPr>
        <w:t xml:space="preserve"> ont néanmoins contribué à redynamiser le marché du travail en Allemagne et à développer la participation à l'emploi des femmes également. Favorisés par le gouvernement Schröder, les mini-jobs, </w:t>
      </w:r>
      <w:r w:rsidR="00C60546">
        <w:rPr>
          <w:rFonts w:ascii="Cambria" w:hAnsi="Cambria"/>
          <w:sz w:val="24"/>
          <w:szCs w:val="24"/>
        </w:rPr>
        <w:t xml:space="preserve">dont le plafond a été porté début 2013 de </w:t>
      </w:r>
      <w:r w:rsidR="00C60546">
        <w:rPr>
          <w:rFonts w:ascii="Cambria" w:hAnsi="Cambria"/>
          <w:sz w:val="24"/>
          <w:szCs w:val="24"/>
        </w:rPr>
        <w:lastRenderedPageBreak/>
        <w:t xml:space="preserve">400 à </w:t>
      </w:r>
      <w:r w:rsidRPr="00FF6BC6">
        <w:rPr>
          <w:rFonts w:ascii="Cambria" w:hAnsi="Cambria"/>
          <w:sz w:val="24"/>
          <w:szCs w:val="24"/>
        </w:rPr>
        <w:t>4</w:t>
      </w:r>
      <w:r>
        <w:rPr>
          <w:rFonts w:ascii="Cambria" w:hAnsi="Cambria"/>
          <w:sz w:val="24"/>
          <w:szCs w:val="24"/>
        </w:rPr>
        <w:t>5</w:t>
      </w:r>
      <w:r w:rsidRPr="00FF6BC6">
        <w:rPr>
          <w:rFonts w:ascii="Cambria" w:hAnsi="Cambria"/>
          <w:sz w:val="24"/>
          <w:szCs w:val="24"/>
        </w:rPr>
        <w:t xml:space="preserve">0 euros nets par mois, </w:t>
      </w:r>
      <w:r>
        <w:rPr>
          <w:rFonts w:ascii="Cambria" w:hAnsi="Cambria"/>
          <w:sz w:val="24"/>
          <w:szCs w:val="24"/>
        </w:rPr>
        <w:t>pouvaient ainsi être perçus comme attractifs pour les femmes, et surtout les mères, dans un contexte d'essor du travail à temps partiel</w:t>
      </w:r>
      <w:r w:rsidRPr="00FF6BC6">
        <w:rPr>
          <w:rStyle w:val="Marquenotebasdepage"/>
          <w:rFonts w:ascii="Cambria" w:hAnsi="Cambria"/>
          <w:sz w:val="24"/>
          <w:szCs w:val="24"/>
        </w:rPr>
        <w:footnoteReference w:id="17"/>
      </w:r>
      <w:r w:rsidRPr="00FF6BC6">
        <w:rPr>
          <w:rFonts w:ascii="Cambria" w:hAnsi="Cambria"/>
          <w:sz w:val="24"/>
          <w:szCs w:val="24"/>
        </w:rPr>
        <w:t>.</w:t>
      </w:r>
      <w:r>
        <w:rPr>
          <w:rFonts w:ascii="Cambria" w:hAnsi="Cambria"/>
          <w:sz w:val="24"/>
          <w:szCs w:val="24"/>
        </w:rPr>
        <w:t xml:space="preserve"> </w:t>
      </w:r>
    </w:p>
    <w:p w14:paraId="14EC3AEB" w14:textId="77777777" w:rsidR="00D507C0" w:rsidRDefault="00D507C0" w:rsidP="00E71F89">
      <w:pPr>
        <w:pStyle w:val="Sansinterligne"/>
        <w:spacing w:after="120"/>
        <w:jc w:val="both"/>
        <w:rPr>
          <w:rFonts w:ascii="Cambria" w:hAnsi="Cambria"/>
          <w:sz w:val="24"/>
          <w:szCs w:val="24"/>
        </w:rPr>
      </w:pPr>
    </w:p>
    <w:p w14:paraId="459CFB6C" w14:textId="77777777" w:rsidR="00D507C0" w:rsidRDefault="00D507C0" w:rsidP="00E71F89">
      <w:pPr>
        <w:pStyle w:val="Sansinterligne"/>
        <w:spacing w:after="120"/>
        <w:jc w:val="both"/>
        <w:rPr>
          <w:rFonts w:ascii="Cambria" w:hAnsi="Cambria"/>
          <w:sz w:val="24"/>
          <w:szCs w:val="24"/>
        </w:rPr>
      </w:pPr>
    </w:p>
    <w:p w14:paraId="326644F6" w14:textId="77777777" w:rsidR="00D507C0" w:rsidRPr="00886DF9" w:rsidRDefault="00D507C0" w:rsidP="00886DF9">
      <w:pPr>
        <w:pStyle w:val="Sansinterligne"/>
        <w:numPr>
          <w:ilvl w:val="0"/>
          <w:numId w:val="7"/>
        </w:numPr>
        <w:spacing w:after="120"/>
        <w:jc w:val="both"/>
        <w:rPr>
          <w:rFonts w:ascii="Cambria" w:hAnsi="Cambria"/>
          <w:b/>
          <w:sz w:val="24"/>
          <w:szCs w:val="24"/>
        </w:rPr>
      </w:pPr>
      <w:r w:rsidRPr="00886DF9">
        <w:rPr>
          <w:rFonts w:ascii="Cambria" w:hAnsi="Cambria"/>
          <w:b/>
          <w:sz w:val="24"/>
          <w:szCs w:val="24"/>
        </w:rPr>
        <w:t>Quels effets?</w:t>
      </w:r>
    </w:p>
    <w:p w14:paraId="18706C55" w14:textId="77777777" w:rsidR="00D507C0" w:rsidRDefault="00D507C0" w:rsidP="00E71F89">
      <w:pPr>
        <w:pStyle w:val="Sansinterligne"/>
        <w:spacing w:after="120"/>
        <w:jc w:val="both"/>
        <w:rPr>
          <w:rFonts w:ascii="Cambria" w:hAnsi="Cambria"/>
          <w:sz w:val="24"/>
          <w:szCs w:val="24"/>
        </w:rPr>
      </w:pPr>
    </w:p>
    <w:p w14:paraId="2BF8BFFD" w14:textId="77777777" w:rsidR="00D507C0" w:rsidRPr="00461D91" w:rsidRDefault="00D507C0" w:rsidP="00E71F89">
      <w:pPr>
        <w:pStyle w:val="Sansinterligne"/>
        <w:spacing w:after="120"/>
        <w:jc w:val="both"/>
        <w:rPr>
          <w:rFonts w:ascii="Cambria" w:hAnsi="Cambria"/>
          <w:sz w:val="24"/>
          <w:szCs w:val="24"/>
        </w:rPr>
      </w:pPr>
      <w:r>
        <w:rPr>
          <w:rFonts w:ascii="Cambria" w:hAnsi="Cambria"/>
          <w:sz w:val="24"/>
          <w:szCs w:val="24"/>
        </w:rPr>
        <w:t xml:space="preserve">Alors que le taux d'emploi féminin avait stagné après la réunification allemande, il repart à la hausse à la fin des années 1990 et augmente considérablement, en particulier dans la deuxième moitié des années 2000. Il </w:t>
      </w:r>
      <w:r w:rsidRPr="00461D91">
        <w:rPr>
          <w:rFonts w:ascii="Cambria" w:hAnsi="Cambria"/>
          <w:sz w:val="24"/>
          <w:szCs w:val="24"/>
        </w:rPr>
        <w:t xml:space="preserve">atteint ainsi 67,7% en 2011, ce qui le place au-dessus de l'objectif </w:t>
      </w:r>
      <w:proofErr w:type="gramStart"/>
      <w:r w:rsidRPr="00461D91">
        <w:rPr>
          <w:rFonts w:ascii="Cambria" w:hAnsi="Cambria"/>
          <w:sz w:val="24"/>
          <w:szCs w:val="24"/>
        </w:rPr>
        <w:t>affiché</w:t>
      </w:r>
      <w:proofErr w:type="gramEnd"/>
      <w:r w:rsidRPr="00461D91">
        <w:rPr>
          <w:rFonts w:ascii="Cambria" w:hAnsi="Cambria"/>
          <w:sz w:val="24"/>
          <w:szCs w:val="24"/>
        </w:rPr>
        <w:t xml:space="preserve"> par la Stratégie de Lisbonne et bien au-dessus de la moyenne européenne de 58,5%. La bonne santé du marché du travail en Allemagne, liée notamment aux réformes engagées, a permis une stabilisation du taux d'emploi des plus jeunes et une hausse de la participation à l'emploi chez les femmes âgées de plus de 25 ans. Cette augmentation touche en particulier les seniors: leur taux d'emploi bondit de 20 points de pourcentage entre 2004 et 2011, passant de 33% à 53% (voir graphique 2). Cette forte progression répond à l'objectif européen du « vieillissement actif », en d'autres termes d'une plus grande proportion de seniors dans l'emploi.</w:t>
      </w:r>
    </w:p>
    <w:p w14:paraId="00EA0EDA" w14:textId="77777777" w:rsidR="00D507C0" w:rsidRPr="00461D91" w:rsidRDefault="00D507C0" w:rsidP="00E71F89">
      <w:pPr>
        <w:pStyle w:val="Sansinterligne"/>
        <w:spacing w:after="120"/>
        <w:jc w:val="both"/>
        <w:rPr>
          <w:rFonts w:ascii="Cambria" w:hAnsi="Cambria"/>
          <w:sz w:val="24"/>
          <w:szCs w:val="24"/>
        </w:rPr>
      </w:pPr>
    </w:p>
    <w:p w14:paraId="2E486EAE" w14:textId="77777777" w:rsidR="00D507C0" w:rsidRDefault="00D507C0" w:rsidP="00E71F89">
      <w:pPr>
        <w:pStyle w:val="Sansinterligne"/>
        <w:spacing w:after="120"/>
        <w:jc w:val="both"/>
        <w:rPr>
          <w:rFonts w:ascii="Times New Roman" w:hAnsi="Times New Roman"/>
        </w:rPr>
      </w:pPr>
      <w:r w:rsidRPr="00461D91">
        <w:rPr>
          <w:rFonts w:ascii="Cambria" w:hAnsi="Cambria"/>
          <w:sz w:val="24"/>
          <w:szCs w:val="24"/>
        </w:rPr>
        <w:t>Graphique 2: Evolution du taux d'emploi féminin en Allemagne de 1983 à 2011 en</w:t>
      </w:r>
      <w:r>
        <w:rPr>
          <w:rFonts w:ascii="Cambria" w:hAnsi="Cambria"/>
          <w:sz w:val="24"/>
          <w:szCs w:val="24"/>
        </w:rPr>
        <w:t xml:space="preserve"> fonction de l'âge. </w:t>
      </w:r>
      <w:r w:rsidRPr="00DA77D8">
        <w:rPr>
          <w:rFonts w:ascii="Cambria" w:hAnsi="Cambria"/>
        </w:rPr>
        <w:t>Source: Eurostat.</w:t>
      </w:r>
      <w:r>
        <w:rPr>
          <w:rFonts w:ascii="Cambria" w:hAnsi="Cambria"/>
          <w:sz w:val="24"/>
          <w:szCs w:val="24"/>
        </w:rPr>
        <w:t xml:space="preserve"> </w:t>
      </w:r>
      <w:r w:rsidRPr="008B67BE">
        <w:rPr>
          <w:rFonts w:ascii="Times New Roman" w:hAnsi="Times New Roman"/>
        </w:rPr>
        <w:t>http://epp.eurostat.ec.europa.eu</w:t>
      </w:r>
    </w:p>
    <w:p w14:paraId="2BCAC681" w14:textId="77777777" w:rsidR="00D507C0" w:rsidRDefault="00D507C0" w:rsidP="00E71F89">
      <w:pPr>
        <w:pStyle w:val="Sansinterligne"/>
        <w:spacing w:after="120"/>
        <w:jc w:val="both"/>
        <w:rPr>
          <w:rFonts w:ascii="Cambria" w:hAnsi="Cambria"/>
          <w:sz w:val="24"/>
          <w:szCs w:val="24"/>
        </w:rPr>
      </w:pPr>
    </w:p>
    <w:p w14:paraId="1D2E182C" w14:textId="77777777" w:rsidR="00D507C0" w:rsidRDefault="0094730F" w:rsidP="00E71F89">
      <w:pPr>
        <w:pStyle w:val="Sansinterligne"/>
        <w:spacing w:after="120"/>
        <w:jc w:val="both"/>
        <w:rPr>
          <w:rFonts w:ascii="Cambria" w:hAnsi="Cambria"/>
          <w:sz w:val="24"/>
          <w:szCs w:val="24"/>
        </w:rPr>
      </w:pPr>
      <w:r>
        <w:rPr>
          <w:rFonts w:ascii="Cambria" w:hAnsi="Cambria"/>
          <w:noProof/>
          <w:sz w:val="24"/>
          <w:szCs w:val="24"/>
          <w:lang w:eastAsia="fr-FR"/>
        </w:rPr>
        <w:drawing>
          <wp:inline distT="0" distB="0" distL="0" distR="0" wp14:anchorId="1C374374" wp14:editId="0F238293">
            <wp:extent cx="5765421" cy="3076225"/>
            <wp:effectExtent l="12195" t="6091" r="5329" b="1244"/>
            <wp:docPr id="3"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620EE4" w14:textId="77777777" w:rsidR="00D507C0" w:rsidRDefault="00D507C0" w:rsidP="00E71F89">
      <w:pPr>
        <w:pStyle w:val="Sansinterligne"/>
        <w:spacing w:after="120"/>
        <w:jc w:val="both"/>
        <w:rPr>
          <w:rFonts w:ascii="Cambria" w:hAnsi="Cambria"/>
          <w:sz w:val="24"/>
          <w:szCs w:val="24"/>
        </w:rPr>
      </w:pPr>
    </w:p>
    <w:p w14:paraId="28E1F3D2" w14:textId="77777777" w:rsidR="00D507C0" w:rsidRPr="00461D91" w:rsidRDefault="00D507C0" w:rsidP="00E71F89">
      <w:pPr>
        <w:pStyle w:val="Sansinterligne"/>
        <w:spacing w:after="120"/>
        <w:jc w:val="both"/>
        <w:rPr>
          <w:rFonts w:ascii="Cambria" w:hAnsi="Cambria"/>
          <w:sz w:val="24"/>
          <w:szCs w:val="24"/>
        </w:rPr>
      </w:pPr>
      <w:r>
        <w:rPr>
          <w:rFonts w:ascii="Cambria" w:hAnsi="Cambria"/>
          <w:sz w:val="24"/>
          <w:szCs w:val="24"/>
        </w:rPr>
        <w:lastRenderedPageBreak/>
        <w:t xml:space="preserve">Mais les mères aussi, qui sont la cible privilégiée de la politique de conciliation entre vie professionnelle et vie familiale prônée par l'UE, sont de plus en plus nombreuses sur le marché du travail. Leur taux d'emploi </w:t>
      </w:r>
      <w:r w:rsidRPr="00461D91">
        <w:rPr>
          <w:rFonts w:ascii="Cambria" w:hAnsi="Cambria"/>
          <w:sz w:val="24"/>
          <w:szCs w:val="24"/>
        </w:rPr>
        <w:t xml:space="preserve">a nettement progressé, en particulier depuis 2005, quel que soit le nombre d'enfants ou l'âge des enfants (voir graphiques 3 et 4). Il a particulièrement augmenté, entre 2005 et 2011, chez les mères d'enfants de moins de six ans (+ 13 points), ce qui s'assimile à une forme de rattrapage, dans la mesure où le taux d'emploi des mères d'enfants plus grands était déjà relativement élevé en 2005. De fait, l'Allemagne se situe, depuis 2011 seulement, juste au-dessus de la moyenne européenne quant au taux d'emploi des mères d'enfants de moins de six ans, alors qu'elle s'était maintenue jusque-là sensiblement en-dessous. On observe le même phénomène chez les mères de trois enfants et plus, dont le taux d'emploi a grimpé de plus de dix points en l'espace de six ans, même s'il reste nettement inférieur à celui des mères de un ou de deux enfants. Les écarts dans la participation à l'emploi selon l'âge et le nombre d'enfants tendent à se resserrer. </w:t>
      </w:r>
    </w:p>
    <w:p w14:paraId="7F5376D8" w14:textId="77777777" w:rsidR="007B0B0D" w:rsidRPr="00461D91" w:rsidRDefault="007B0B0D" w:rsidP="00E71F89">
      <w:pPr>
        <w:pStyle w:val="Sansinterligne"/>
        <w:spacing w:after="120"/>
        <w:jc w:val="both"/>
        <w:rPr>
          <w:rFonts w:ascii="Cambria" w:hAnsi="Cambria"/>
          <w:sz w:val="24"/>
          <w:szCs w:val="24"/>
        </w:rPr>
      </w:pPr>
    </w:p>
    <w:p w14:paraId="400343D4" w14:textId="77777777" w:rsidR="00D507C0" w:rsidRDefault="00D507C0" w:rsidP="00E71F89">
      <w:pPr>
        <w:pStyle w:val="Sansinterligne"/>
        <w:spacing w:after="120"/>
        <w:jc w:val="both"/>
        <w:rPr>
          <w:rFonts w:ascii="Cambria" w:hAnsi="Cambria"/>
          <w:sz w:val="24"/>
          <w:szCs w:val="24"/>
        </w:rPr>
      </w:pPr>
      <w:r w:rsidRPr="00461D91">
        <w:rPr>
          <w:rFonts w:ascii="Cambria" w:hAnsi="Cambria"/>
          <w:sz w:val="24"/>
          <w:szCs w:val="24"/>
        </w:rPr>
        <w:t xml:space="preserve">Graphique 3: Taux d'emploi des mères âgées de 25 à 49 ans, en Allemagne, en 2005 et 2011 en fonction du nombre d'enfants (%). </w:t>
      </w:r>
      <w:r w:rsidRPr="00461D91">
        <w:rPr>
          <w:rFonts w:ascii="Cambria" w:hAnsi="Cambria"/>
        </w:rPr>
        <w:t>Source: Eurostat</w:t>
      </w:r>
      <w:r w:rsidRPr="00DA77D8">
        <w:rPr>
          <w:rFonts w:ascii="Cambria" w:hAnsi="Cambria"/>
        </w:rPr>
        <w:t>.</w:t>
      </w:r>
      <w:r>
        <w:rPr>
          <w:rFonts w:ascii="Cambria" w:hAnsi="Cambria"/>
          <w:sz w:val="24"/>
          <w:szCs w:val="24"/>
        </w:rPr>
        <w:t xml:space="preserve"> </w:t>
      </w:r>
      <w:r w:rsidRPr="008B67BE">
        <w:rPr>
          <w:rFonts w:ascii="Times New Roman" w:hAnsi="Times New Roman"/>
        </w:rPr>
        <w:t>http://epp.eurostat.ec.europa.eu</w:t>
      </w:r>
    </w:p>
    <w:p w14:paraId="584DE7EB" w14:textId="77777777" w:rsidR="00D507C0" w:rsidRDefault="00D507C0" w:rsidP="00E71F89">
      <w:pPr>
        <w:pStyle w:val="Sansinterligne"/>
        <w:spacing w:after="120"/>
        <w:jc w:val="both"/>
        <w:rPr>
          <w:rFonts w:ascii="Cambria" w:hAnsi="Cambria"/>
          <w:sz w:val="24"/>
          <w:szCs w:val="24"/>
        </w:rPr>
      </w:pPr>
    </w:p>
    <w:p w14:paraId="3FC6FC49" w14:textId="77777777" w:rsidR="00D507C0" w:rsidRDefault="0094730F" w:rsidP="007C12AB">
      <w:pPr>
        <w:pStyle w:val="Sansinterligne"/>
        <w:spacing w:after="120"/>
        <w:jc w:val="center"/>
        <w:rPr>
          <w:rFonts w:ascii="Cambria" w:hAnsi="Cambria"/>
          <w:sz w:val="24"/>
          <w:szCs w:val="24"/>
        </w:rPr>
      </w:pPr>
      <w:r>
        <w:rPr>
          <w:rFonts w:ascii="Cambria" w:hAnsi="Cambria"/>
          <w:noProof/>
          <w:sz w:val="24"/>
          <w:szCs w:val="24"/>
          <w:lang w:eastAsia="fr-FR"/>
        </w:rPr>
        <w:drawing>
          <wp:inline distT="0" distB="0" distL="0" distR="0" wp14:anchorId="6054F52D" wp14:editId="364EACE5">
            <wp:extent cx="4575421" cy="2743461"/>
            <wp:effectExtent l="12192" t="6089" r="3437" b="0"/>
            <wp:docPr id="4"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C95529" w14:textId="77777777" w:rsidR="00D507C0" w:rsidRDefault="00D507C0" w:rsidP="00E71F89">
      <w:pPr>
        <w:pStyle w:val="Sansinterligne"/>
        <w:spacing w:after="120"/>
        <w:jc w:val="both"/>
        <w:rPr>
          <w:rFonts w:ascii="Cambria" w:hAnsi="Cambria"/>
          <w:sz w:val="24"/>
          <w:szCs w:val="24"/>
        </w:rPr>
      </w:pPr>
    </w:p>
    <w:p w14:paraId="79D4DB29"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Graphique 4: Taux d'emploi des mères âgées de 25 à 49 ans, en Allemagne, en 2005 et 2010 en fonction de l'âge du plus jeune enfant (%). </w:t>
      </w:r>
      <w:r w:rsidRPr="00DA77D8">
        <w:rPr>
          <w:rFonts w:ascii="Cambria" w:hAnsi="Cambria"/>
        </w:rPr>
        <w:t>Source: Eurostat.</w:t>
      </w:r>
      <w:r>
        <w:rPr>
          <w:rFonts w:ascii="Cambria" w:hAnsi="Cambria"/>
          <w:sz w:val="24"/>
          <w:szCs w:val="24"/>
        </w:rPr>
        <w:t xml:space="preserve"> </w:t>
      </w:r>
      <w:r w:rsidRPr="008B67BE">
        <w:rPr>
          <w:rFonts w:ascii="Times New Roman" w:hAnsi="Times New Roman"/>
        </w:rPr>
        <w:t>http://epp.eurostat.ec.europa.eu</w:t>
      </w:r>
    </w:p>
    <w:p w14:paraId="75E8A8DB" w14:textId="77777777" w:rsidR="00D507C0" w:rsidRDefault="00D507C0" w:rsidP="00E71F89">
      <w:pPr>
        <w:pStyle w:val="Sansinterligne"/>
        <w:spacing w:after="120"/>
        <w:jc w:val="both"/>
        <w:rPr>
          <w:rFonts w:ascii="Cambria" w:hAnsi="Cambria"/>
          <w:sz w:val="24"/>
          <w:szCs w:val="24"/>
        </w:rPr>
      </w:pPr>
    </w:p>
    <w:p w14:paraId="79A2C839" w14:textId="77777777" w:rsidR="00D507C0" w:rsidRDefault="00AB41B0" w:rsidP="006734BB">
      <w:pPr>
        <w:pStyle w:val="Sansinterligne"/>
        <w:spacing w:after="120"/>
        <w:jc w:val="center"/>
        <w:rPr>
          <w:rFonts w:ascii="Cambria" w:hAnsi="Cambria"/>
          <w:sz w:val="24"/>
          <w:szCs w:val="24"/>
        </w:rPr>
      </w:pPr>
      <w:r w:rsidRPr="00AB41B0">
        <w:rPr>
          <w:rFonts w:ascii="Cambria" w:hAnsi="Cambria"/>
          <w:noProof/>
          <w:sz w:val="24"/>
          <w:szCs w:val="24"/>
          <w:lang w:eastAsia="fr-FR"/>
        </w:rPr>
        <w:lastRenderedPageBreak/>
        <w:drawing>
          <wp:inline distT="0" distB="0" distL="0" distR="0" wp14:anchorId="034B961A" wp14:editId="05CA0CCF">
            <wp:extent cx="4572000" cy="2743200"/>
            <wp:effectExtent l="19050" t="0" r="1905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E83DD9" w14:textId="77777777" w:rsidR="00D507C0" w:rsidRDefault="00D507C0" w:rsidP="00E71F89">
      <w:pPr>
        <w:pStyle w:val="Sansinterligne"/>
        <w:spacing w:after="120"/>
        <w:jc w:val="both"/>
        <w:rPr>
          <w:rFonts w:ascii="Cambria" w:hAnsi="Cambria"/>
          <w:sz w:val="24"/>
          <w:szCs w:val="24"/>
        </w:rPr>
      </w:pPr>
    </w:p>
    <w:p w14:paraId="0C999383" w14:textId="568A7EAD"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Se pose ainsi la question de savoir dans quelle mesure cette participation croissante des mères à l'emploi pourrait être liée aux réformes de politiques familiales, en particulier au développement des infrastructures d'accueil pour les moins de six ans et à une plus grande implication des pères dans les tâches familiales faisant suite à la réforme du congé parental. L'essor des jardins d'enfants s'est poursuivi dans les années 2000, et l'objectif d'un accueil de 90% des </w:t>
      </w:r>
      <w:r w:rsidRPr="00461D91">
        <w:rPr>
          <w:rFonts w:ascii="Cambria" w:hAnsi="Cambria"/>
          <w:sz w:val="24"/>
          <w:szCs w:val="24"/>
        </w:rPr>
        <w:t>enfants âgés de trois à cinq ans était atteint dès 2008 pour l'Allemagne dans son ensemble et à partir de 2009 dans l'ouest du pays. L'offre d'accueil continue de se développer. Début 2012, 93,4% des enfants de cette tranche d'âge étai</w:t>
      </w:r>
      <w:r w:rsidR="0047407E" w:rsidRPr="00461D91">
        <w:rPr>
          <w:rFonts w:ascii="Cambria" w:hAnsi="Cambria"/>
          <w:sz w:val="24"/>
          <w:szCs w:val="24"/>
        </w:rPr>
        <w:t>en</w:t>
      </w:r>
      <w:r w:rsidRPr="00461D91">
        <w:rPr>
          <w:rFonts w:ascii="Cambria" w:hAnsi="Cambria"/>
          <w:sz w:val="24"/>
          <w:szCs w:val="24"/>
        </w:rPr>
        <w:t>t accueillis dans un jardin d'enfants, soit 92,9% à l'ouest et 95,6% à l'est. Si l'écart entre est et ouest s'est réduit, une différence de taille subsiste néanmoins: à l'ouest, la grande majorité des enfants n'est prise en charge que le matin, alors que l'accueil en journée domine dans les n</w:t>
      </w:r>
      <w:r w:rsidR="00D21D28" w:rsidRPr="00461D91">
        <w:rPr>
          <w:rFonts w:ascii="Cambria" w:hAnsi="Cambria"/>
          <w:sz w:val="24"/>
          <w:szCs w:val="24"/>
        </w:rPr>
        <w:t>ouveaux Länder (voir graphique 5</w:t>
      </w:r>
      <w:r w:rsidRPr="00461D91">
        <w:rPr>
          <w:rFonts w:ascii="Cambria" w:hAnsi="Cambria"/>
          <w:sz w:val="24"/>
          <w:szCs w:val="24"/>
        </w:rPr>
        <w:t>).</w:t>
      </w:r>
    </w:p>
    <w:p w14:paraId="7ABCCECB" w14:textId="77777777" w:rsidR="00D507C0" w:rsidRDefault="00D507C0" w:rsidP="00E71F89">
      <w:pPr>
        <w:pStyle w:val="Sansinterligne"/>
        <w:spacing w:after="120"/>
        <w:jc w:val="both"/>
        <w:rPr>
          <w:rFonts w:ascii="Cambria" w:hAnsi="Cambria"/>
          <w:sz w:val="24"/>
          <w:szCs w:val="24"/>
        </w:rPr>
      </w:pPr>
    </w:p>
    <w:p w14:paraId="38564984"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Graphique </w:t>
      </w:r>
      <w:r w:rsidR="00D21D28">
        <w:rPr>
          <w:rFonts w:ascii="Cambria" w:hAnsi="Cambria"/>
          <w:sz w:val="24"/>
          <w:szCs w:val="24"/>
        </w:rPr>
        <w:t>5</w:t>
      </w:r>
      <w:r>
        <w:rPr>
          <w:rFonts w:ascii="Cambria" w:hAnsi="Cambria"/>
          <w:sz w:val="24"/>
          <w:szCs w:val="24"/>
        </w:rPr>
        <w:t xml:space="preserve">: Proportion d'enfants pris en charge à l'extérieur en Allemagne en 2006 et en 2012, selon l'âge (%), et proportion d'enfants pris en charge en journée en 2012 (%). </w:t>
      </w:r>
      <w:r w:rsidRPr="00451655">
        <w:rPr>
          <w:rFonts w:ascii="Cambria" w:hAnsi="Cambria"/>
          <w:sz w:val="20"/>
          <w:szCs w:val="20"/>
        </w:rPr>
        <w:t xml:space="preserve">Source: </w:t>
      </w:r>
      <w:proofErr w:type="spellStart"/>
      <w:r w:rsidRPr="00451655">
        <w:rPr>
          <w:rFonts w:ascii="Cambria" w:hAnsi="Cambria"/>
          <w:sz w:val="20"/>
          <w:szCs w:val="20"/>
        </w:rPr>
        <w:t>Statistische</w:t>
      </w:r>
      <w:proofErr w:type="spellEnd"/>
      <w:r w:rsidRPr="00451655">
        <w:rPr>
          <w:rFonts w:ascii="Cambria" w:hAnsi="Cambria"/>
          <w:sz w:val="20"/>
          <w:szCs w:val="20"/>
        </w:rPr>
        <w:t xml:space="preserve"> </w:t>
      </w:r>
      <w:proofErr w:type="spellStart"/>
      <w:r w:rsidRPr="00451655">
        <w:rPr>
          <w:rFonts w:ascii="Cambria" w:hAnsi="Cambria"/>
          <w:sz w:val="20"/>
          <w:szCs w:val="20"/>
        </w:rPr>
        <w:t>Ämter</w:t>
      </w:r>
      <w:proofErr w:type="spellEnd"/>
      <w:r w:rsidRPr="00451655">
        <w:rPr>
          <w:rFonts w:ascii="Cambria" w:hAnsi="Cambria"/>
          <w:sz w:val="20"/>
          <w:szCs w:val="20"/>
        </w:rPr>
        <w:t xml:space="preserve"> des </w:t>
      </w:r>
      <w:proofErr w:type="spellStart"/>
      <w:r w:rsidRPr="00451655">
        <w:rPr>
          <w:rFonts w:ascii="Cambria" w:hAnsi="Cambria"/>
          <w:sz w:val="20"/>
          <w:szCs w:val="20"/>
        </w:rPr>
        <w:t>Bundes</w:t>
      </w:r>
      <w:proofErr w:type="spellEnd"/>
      <w:r w:rsidRPr="00451655">
        <w:rPr>
          <w:rFonts w:ascii="Cambria" w:hAnsi="Cambria"/>
          <w:sz w:val="20"/>
          <w:szCs w:val="20"/>
        </w:rPr>
        <w:t xml:space="preserve"> </w:t>
      </w:r>
      <w:proofErr w:type="spellStart"/>
      <w:r w:rsidRPr="00451655">
        <w:rPr>
          <w:rFonts w:ascii="Cambria" w:hAnsi="Cambria"/>
          <w:sz w:val="20"/>
          <w:szCs w:val="20"/>
        </w:rPr>
        <w:t>und</w:t>
      </w:r>
      <w:proofErr w:type="spellEnd"/>
      <w:r w:rsidRPr="00451655">
        <w:rPr>
          <w:rFonts w:ascii="Cambria" w:hAnsi="Cambria"/>
          <w:sz w:val="20"/>
          <w:szCs w:val="20"/>
        </w:rPr>
        <w:t xml:space="preserve"> der Länder, 2006 à 2012</w:t>
      </w:r>
    </w:p>
    <w:p w14:paraId="614F2BE3" w14:textId="77777777" w:rsidR="00D507C0" w:rsidRDefault="00D507C0" w:rsidP="00E71F89">
      <w:pPr>
        <w:pStyle w:val="Sansinterligne"/>
        <w:spacing w:after="120"/>
        <w:jc w:val="both"/>
        <w:rPr>
          <w:rFonts w:ascii="Cambria" w:hAnsi="Cambria"/>
          <w:sz w:val="24"/>
          <w:szCs w:val="24"/>
        </w:rPr>
      </w:pPr>
    </w:p>
    <w:p w14:paraId="355382A0" w14:textId="77777777" w:rsidR="00D507C0" w:rsidRDefault="0094730F" w:rsidP="00E71F89">
      <w:pPr>
        <w:pStyle w:val="Sansinterligne"/>
        <w:spacing w:after="120"/>
        <w:jc w:val="both"/>
        <w:rPr>
          <w:rFonts w:ascii="Cambria" w:hAnsi="Cambria"/>
          <w:sz w:val="24"/>
          <w:szCs w:val="24"/>
        </w:rPr>
      </w:pPr>
      <w:r>
        <w:rPr>
          <w:rFonts w:ascii="Cambria" w:hAnsi="Cambria"/>
          <w:noProof/>
          <w:sz w:val="24"/>
          <w:szCs w:val="24"/>
          <w:lang w:eastAsia="fr-FR"/>
        </w:rPr>
        <w:lastRenderedPageBreak/>
        <w:drawing>
          <wp:inline distT="0" distB="0" distL="0" distR="0" wp14:anchorId="335A1EDE" wp14:editId="235F07ED">
            <wp:extent cx="5729343" cy="3058400"/>
            <wp:effectExtent l="12195" t="6110" r="3307" b="0"/>
            <wp:docPr id="6"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C701D3" w14:textId="77777777" w:rsidR="00D507C0" w:rsidRPr="00F024F8" w:rsidRDefault="00F024F8" w:rsidP="00E71F89">
      <w:pPr>
        <w:pStyle w:val="Sansinterligne"/>
        <w:spacing w:after="120"/>
        <w:jc w:val="both"/>
        <w:rPr>
          <w:rFonts w:ascii="Cambria" w:hAnsi="Cambria"/>
          <w:sz w:val="20"/>
          <w:szCs w:val="20"/>
        </w:rPr>
      </w:pPr>
      <w:r w:rsidRPr="00F024F8">
        <w:rPr>
          <w:rFonts w:ascii="Cambria" w:hAnsi="Cambria"/>
          <w:sz w:val="20"/>
          <w:szCs w:val="20"/>
        </w:rPr>
        <w:t>Lecture: En 2012, 22,3% des enfants âgés de moins de trois ans étaient pris en charge à l'extérieur dans l'ouest de l'Allemagne, contre un taux de 6,8% en 2006. En 2012, 9,3% des enfants de moins de trois ans étaient pris en charge en journée à l'ouest du pays.</w:t>
      </w:r>
    </w:p>
    <w:p w14:paraId="709DE35A" w14:textId="77777777" w:rsidR="00F024F8" w:rsidRDefault="00F024F8" w:rsidP="00E71F89">
      <w:pPr>
        <w:pStyle w:val="Sansinterligne"/>
        <w:spacing w:after="120"/>
        <w:jc w:val="both"/>
        <w:rPr>
          <w:rFonts w:ascii="Cambria" w:hAnsi="Cambria"/>
          <w:sz w:val="24"/>
          <w:szCs w:val="24"/>
        </w:rPr>
      </w:pPr>
    </w:p>
    <w:p w14:paraId="7427DC84"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La prise en charge des moins de trois ans est également en hausse en Allemagne, depuis la réforme de 2005. La proportion d'enfants de moins de trois ans pris en charge à l'extérieur - dans une crèche ou par une assistante maternelle - est passée de 12,1% à 27,6% entre 2006 et </w:t>
      </w:r>
      <w:r w:rsidRPr="00A202CC">
        <w:rPr>
          <w:rFonts w:ascii="Cambria" w:hAnsi="Cambria"/>
          <w:sz w:val="24"/>
          <w:szCs w:val="24"/>
          <w:highlight w:val="yellow"/>
        </w:rPr>
        <w:t>2012</w:t>
      </w:r>
      <w:r>
        <w:rPr>
          <w:rStyle w:val="Marquenotebasdepage"/>
          <w:rFonts w:ascii="Cambria" w:hAnsi="Cambria"/>
          <w:sz w:val="24"/>
          <w:szCs w:val="24"/>
        </w:rPr>
        <w:footnoteReference w:id="18"/>
      </w:r>
      <w:r>
        <w:rPr>
          <w:rFonts w:ascii="Cambria" w:hAnsi="Cambria"/>
          <w:sz w:val="24"/>
          <w:szCs w:val="24"/>
        </w:rPr>
        <w:t xml:space="preserve">. </w:t>
      </w:r>
      <w:r w:rsidRPr="00A202CC">
        <w:rPr>
          <w:rFonts w:ascii="Cambria" w:hAnsi="Cambria"/>
          <w:sz w:val="24"/>
          <w:szCs w:val="24"/>
          <w:highlight w:val="yellow"/>
        </w:rPr>
        <w:t>Le nombre d'enfants concerné est ainsi passé</w:t>
      </w:r>
      <w:r w:rsidR="006A1FA1" w:rsidRPr="00A202CC">
        <w:rPr>
          <w:rFonts w:ascii="Cambria" w:hAnsi="Cambria"/>
          <w:sz w:val="24"/>
          <w:szCs w:val="24"/>
          <w:highlight w:val="yellow"/>
        </w:rPr>
        <w:t>, dans l'intervalle,</w:t>
      </w:r>
      <w:r w:rsidRPr="00A202CC">
        <w:rPr>
          <w:rFonts w:ascii="Cambria" w:hAnsi="Cambria"/>
          <w:sz w:val="24"/>
          <w:szCs w:val="24"/>
          <w:highlight w:val="yellow"/>
        </w:rPr>
        <w:t xml:space="preserve"> d'environ 254 000 à quelque 558 000. L'Allemagne se rapproche donc sensiblement de l'objectif fixé par le Conseil européen à Barcelone en 2002 d'un accueil d'un tiers des enfants de moins de trois ans.</w:t>
      </w:r>
      <w:r>
        <w:rPr>
          <w:rFonts w:ascii="Cambria" w:hAnsi="Cambria"/>
          <w:sz w:val="24"/>
          <w:szCs w:val="24"/>
        </w:rPr>
        <w:t xml:space="preserve"> Mais là encore, de forts écarts régionaux persistent, tant dans la capacité d'accueil qui varie </w:t>
      </w:r>
      <w:r w:rsidRPr="00A202CC">
        <w:rPr>
          <w:rFonts w:ascii="Cambria" w:hAnsi="Cambria"/>
          <w:sz w:val="24"/>
          <w:szCs w:val="24"/>
          <w:highlight w:val="yellow"/>
        </w:rPr>
        <w:t>entre 10,5% et 63,3% selon les districts, que dans la durée de l'accueil. Ainsi, la garde en journée</w:t>
      </w:r>
      <w:r w:rsidRPr="00A202CC">
        <w:rPr>
          <w:rStyle w:val="Marquenotebasdepage"/>
          <w:rFonts w:ascii="Cambria" w:hAnsi="Cambria"/>
          <w:sz w:val="24"/>
          <w:szCs w:val="24"/>
          <w:highlight w:val="yellow"/>
        </w:rPr>
        <w:footnoteReference w:id="19"/>
      </w:r>
      <w:r w:rsidRPr="00A202CC">
        <w:rPr>
          <w:rFonts w:ascii="Cambria" w:hAnsi="Cambria"/>
          <w:sz w:val="24"/>
          <w:szCs w:val="24"/>
          <w:highlight w:val="yellow"/>
        </w:rPr>
        <w:t xml:space="preserve"> ne concerne que 9,3% des moins de trois ans à l'ouest, contre une proportion de 36% à l'est (avec des différences notables selon les districts, certains n'accueillant que 0,5% des tout-petits en journée, d'autres plus de 50%)</w:t>
      </w:r>
      <w:r>
        <w:rPr>
          <w:rFonts w:ascii="Cambria" w:hAnsi="Cambria"/>
          <w:sz w:val="24"/>
          <w:szCs w:val="24"/>
        </w:rPr>
        <w:t xml:space="preserve"> (</w:t>
      </w:r>
      <w:proofErr w:type="spellStart"/>
      <w:r w:rsidRPr="00545D40">
        <w:rPr>
          <w:rFonts w:ascii="Cambria" w:hAnsi="Cambria"/>
          <w:sz w:val="24"/>
          <w:szCs w:val="24"/>
        </w:rPr>
        <w:t>Statistische</w:t>
      </w:r>
      <w:proofErr w:type="spellEnd"/>
      <w:r w:rsidRPr="00545D40">
        <w:rPr>
          <w:rFonts w:ascii="Cambria" w:hAnsi="Cambria"/>
          <w:sz w:val="24"/>
          <w:szCs w:val="24"/>
        </w:rPr>
        <w:t xml:space="preserve"> </w:t>
      </w:r>
      <w:proofErr w:type="spellStart"/>
      <w:r w:rsidRPr="00545D40">
        <w:rPr>
          <w:rFonts w:ascii="Cambria" w:hAnsi="Cambria"/>
          <w:sz w:val="24"/>
          <w:szCs w:val="24"/>
        </w:rPr>
        <w:t>Ämter</w:t>
      </w:r>
      <w:proofErr w:type="spellEnd"/>
      <w:r w:rsidRPr="00545D40">
        <w:rPr>
          <w:rFonts w:ascii="Cambria" w:hAnsi="Cambria"/>
          <w:sz w:val="24"/>
          <w:szCs w:val="24"/>
        </w:rPr>
        <w:t xml:space="preserve"> des </w:t>
      </w:r>
      <w:proofErr w:type="spellStart"/>
      <w:r w:rsidRPr="00545D40">
        <w:rPr>
          <w:rFonts w:ascii="Cambria" w:hAnsi="Cambria"/>
          <w:sz w:val="24"/>
          <w:szCs w:val="24"/>
        </w:rPr>
        <w:t>Bundes</w:t>
      </w:r>
      <w:proofErr w:type="spellEnd"/>
      <w:r w:rsidRPr="00545D40">
        <w:rPr>
          <w:rFonts w:ascii="Cambria" w:hAnsi="Cambria"/>
          <w:sz w:val="24"/>
          <w:szCs w:val="24"/>
        </w:rPr>
        <w:t xml:space="preserve"> </w:t>
      </w:r>
      <w:proofErr w:type="spellStart"/>
      <w:r w:rsidRPr="00545D40">
        <w:rPr>
          <w:rFonts w:ascii="Cambria" w:hAnsi="Cambria"/>
          <w:sz w:val="24"/>
          <w:szCs w:val="24"/>
        </w:rPr>
        <w:t>und</w:t>
      </w:r>
      <w:proofErr w:type="spellEnd"/>
      <w:r w:rsidRPr="00545D40">
        <w:rPr>
          <w:rFonts w:ascii="Cambria" w:hAnsi="Cambria"/>
          <w:sz w:val="24"/>
          <w:szCs w:val="24"/>
        </w:rPr>
        <w:t xml:space="preserve"> der Länder</w:t>
      </w:r>
      <w:r>
        <w:rPr>
          <w:rFonts w:ascii="Cambria" w:hAnsi="Cambria"/>
          <w:sz w:val="24"/>
          <w:szCs w:val="24"/>
        </w:rPr>
        <w:t xml:space="preserve">, 2012). </w:t>
      </w:r>
    </w:p>
    <w:p w14:paraId="3843B8A7" w14:textId="559970A3" w:rsidR="00D507C0" w:rsidRDefault="00461D91" w:rsidP="00C2012A">
      <w:pPr>
        <w:pStyle w:val="Sansinterligne"/>
        <w:spacing w:after="120"/>
        <w:jc w:val="both"/>
        <w:rPr>
          <w:rFonts w:ascii="Cambria" w:hAnsi="Cambria"/>
          <w:sz w:val="24"/>
          <w:szCs w:val="24"/>
        </w:rPr>
      </w:pPr>
      <w:r>
        <w:rPr>
          <w:rFonts w:ascii="Cambria" w:hAnsi="Cambria"/>
          <w:sz w:val="24"/>
          <w:szCs w:val="24"/>
        </w:rPr>
        <w:t>A l’été 2013, il manquait</w:t>
      </w:r>
      <w:r w:rsidR="00D507C0">
        <w:rPr>
          <w:rFonts w:ascii="Cambria" w:hAnsi="Cambria"/>
          <w:sz w:val="24"/>
          <w:szCs w:val="24"/>
        </w:rPr>
        <w:t xml:space="preserve"> encore plus de 200 000 places</w:t>
      </w:r>
      <w:r w:rsidR="00D507C0">
        <w:rPr>
          <w:rStyle w:val="Marquenotebasdepage"/>
          <w:rFonts w:ascii="Cambria" w:hAnsi="Cambria"/>
          <w:sz w:val="24"/>
          <w:szCs w:val="24"/>
        </w:rPr>
        <w:footnoteReference w:id="20"/>
      </w:r>
      <w:r w:rsidR="00D507C0">
        <w:rPr>
          <w:rFonts w:ascii="Cambria" w:hAnsi="Cambria"/>
          <w:sz w:val="24"/>
          <w:szCs w:val="24"/>
        </w:rPr>
        <w:t xml:space="preserve">. C'est </w:t>
      </w:r>
      <w:r w:rsidR="00D507C0" w:rsidRPr="00461D91">
        <w:rPr>
          <w:rFonts w:ascii="Cambria" w:hAnsi="Cambria"/>
          <w:sz w:val="24"/>
          <w:szCs w:val="24"/>
        </w:rPr>
        <w:t xml:space="preserve">l'une des raisons pour lesquelles le gouvernement a voté la mise en place d'une </w:t>
      </w:r>
      <w:r w:rsidR="00162B47" w:rsidRPr="00461D91">
        <w:rPr>
          <w:rFonts w:ascii="Cambria" w:hAnsi="Cambria"/>
          <w:sz w:val="24"/>
          <w:szCs w:val="24"/>
        </w:rPr>
        <w:t>« </w:t>
      </w:r>
      <w:r w:rsidR="000E79E9" w:rsidRPr="00461D91">
        <w:rPr>
          <w:rFonts w:ascii="Cambria" w:hAnsi="Cambria"/>
          <w:sz w:val="24"/>
          <w:szCs w:val="24"/>
        </w:rPr>
        <w:t>prime de garde</w:t>
      </w:r>
      <w:r w:rsidR="00162B47" w:rsidRPr="00461D91">
        <w:rPr>
          <w:rFonts w:ascii="Cambria" w:hAnsi="Cambria"/>
          <w:sz w:val="24"/>
          <w:szCs w:val="24"/>
        </w:rPr>
        <w:t> »</w:t>
      </w:r>
      <w:r w:rsidR="000E79E9" w:rsidRPr="00461D91">
        <w:rPr>
          <w:rFonts w:ascii="Cambria" w:hAnsi="Cambria"/>
          <w:sz w:val="24"/>
          <w:szCs w:val="24"/>
        </w:rPr>
        <w:t xml:space="preserve"> </w:t>
      </w:r>
      <w:r w:rsidR="000E79E9" w:rsidRPr="00461D91">
        <w:rPr>
          <w:rFonts w:ascii="Cambria" w:hAnsi="Cambria"/>
          <w:sz w:val="24"/>
          <w:szCs w:val="24"/>
        </w:rPr>
        <w:lastRenderedPageBreak/>
        <w:t>(</w:t>
      </w:r>
      <w:proofErr w:type="spellStart"/>
      <w:r w:rsidR="000E79E9" w:rsidRPr="00461D91">
        <w:rPr>
          <w:rFonts w:ascii="Cambria" w:hAnsi="Cambria"/>
          <w:i/>
          <w:sz w:val="24"/>
          <w:szCs w:val="24"/>
        </w:rPr>
        <w:t>Betreuungsgeld</w:t>
      </w:r>
      <w:proofErr w:type="spellEnd"/>
      <w:r w:rsidR="000E79E9" w:rsidRPr="00461D91">
        <w:rPr>
          <w:rFonts w:ascii="Cambria" w:hAnsi="Cambria"/>
          <w:sz w:val="24"/>
          <w:szCs w:val="24"/>
        </w:rPr>
        <w:t>), une allocation qui</w:t>
      </w:r>
      <w:r w:rsidR="00D507C0" w:rsidRPr="00461D91">
        <w:rPr>
          <w:rFonts w:ascii="Cambria" w:hAnsi="Cambria"/>
          <w:sz w:val="24"/>
          <w:szCs w:val="24"/>
        </w:rPr>
        <w:t xml:space="preserve"> </w:t>
      </w:r>
      <w:r w:rsidR="006C2438" w:rsidRPr="00461D91">
        <w:rPr>
          <w:rFonts w:ascii="Cambria" w:hAnsi="Cambria"/>
          <w:sz w:val="24"/>
          <w:szCs w:val="24"/>
        </w:rPr>
        <w:t>s'adress</w:t>
      </w:r>
      <w:r w:rsidR="000E79E9" w:rsidRPr="00461D91">
        <w:rPr>
          <w:rFonts w:ascii="Cambria" w:hAnsi="Cambria"/>
          <w:sz w:val="24"/>
          <w:szCs w:val="24"/>
        </w:rPr>
        <w:t>e</w:t>
      </w:r>
      <w:r w:rsidR="006C2438" w:rsidRPr="00461D91">
        <w:rPr>
          <w:rFonts w:ascii="Cambria" w:hAnsi="Cambria"/>
          <w:sz w:val="24"/>
          <w:szCs w:val="24"/>
        </w:rPr>
        <w:t xml:space="preserve"> aux</w:t>
      </w:r>
      <w:r w:rsidR="00D507C0" w:rsidRPr="00461D91">
        <w:rPr>
          <w:rFonts w:ascii="Cambria" w:hAnsi="Cambria"/>
          <w:sz w:val="24"/>
          <w:szCs w:val="24"/>
        </w:rPr>
        <w:t xml:space="preserve"> parents qui souhaiteraient </w:t>
      </w:r>
      <w:r w:rsidR="006C2438" w:rsidRPr="00461D91">
        <w:rPr>
          <w:rFonts w:ascii="Cambria" w:hAnsi="Cambria"/>
          <w:sz w:val="24"/>
          <w:szCs w:val="24"/>
        </w:rPr>
        <w:t>prendre en charge</w:t>
      </w:r>
      <w:r w:rsidR="00D507C0" w:rsidRPr="00461D91">
        <w:rPr>
          <w:rFonts w:ascii="Cambria" w:hAnsi="Cambria"/>
          <w:sz w:val="24"/>
          <w:szCs w:val="24"/>
        </w:rPr>
        <w:t xml:space="preserve"> eux-mêmes leurs enfants </w:t>
      </w:r>
      <w:r w:rsidR="006C2438" w:rsidRPr="00461D91">
        <w:rPr>
          <w:rFonts w:ascii="Cambria" w:hAnsi="Cambria"/>
          <w:sz w:val="24"/>
          <w:szCs w:val="24"/>
        </w:rPr>
        <w:t>de leur premier anniversaire jusqu'à leur en</w:t>
      </w:r>
      <w:r w:rsidR="006C2438">
        <w:rPr>
          <w:rFonts w:ascii="Cambria" w:hAnsi="Cambria"/>
          <w:sz w:val="24"/>
          <w:szCs w:val="24"/>
        </w:rPr>
        <w:t>trée au</w:t>
      </w:r>
      <w:r w:rsidR="00D507C0">
        <w:rPr>
          <w:rFonts w:ascii="Cambria" w:hAnsi="Cambria"/>
          <w:sz w:val="24"/>
          <w:szCs w:val="24"/>
        </w:rPr>
        <w:t xml:space="preserve"> jardin d'enfants.</w:t>
      </w:r>
      <w:r>
        <w:rPr>
          <w:rFonts w:ascii="Cambria" w:hAnsi="Cambria"/>
          <w:sz w:val="24"/>
          <w:szCs w:val="24"/>
        </w:rPr>
        <w:t xml:space="preserve"> Cette prime, qui sera supprimée à la demande de la Cour constitutionnelle allemande, a en effet pour vocation</w:t>
      </w:r>
      <w:r w:rsidR="00F90252" w:rsidRPr="00461D91">
        <w:rPr>
          <w:rFonts w:ascii="Cambria" w:hAnsi="Cambria"/>
          <w:sz w:val="24"/>
          <w:szCs w:val="24"/>
        </w:rPr>
        <w:t xml:space="preserve"> de réduire la demande et par conséquent les besoins en places d'accueil.</w:t>
      </w:r>
      <w:r w:rsidR="00A202CC" w:rsidRPr="00461D91">
        <w:rPr>
          <w:rFonts w:ascii="Cambria" w:hAnsi="Cambria"/>
          <w:sz w:val="24"/>
          <w:szCs w:val="24"/>
        </w:rPr>
        <w:t xml:space="preserve"> </w:t>
      </w:r>
    </w:p>
    <w:p w14:paraId="190FAC85"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Par conséquent, la prise en charge des enfants de moins de trois ans reste marginale dans l'ouest du pays, notamment en termes de volume horaire. Elle ne concerne qu'un peu plus d'un quart des enfants de cette tranche d'âge et ne tient pas compte de la durée de la prise en charge</w:t>
      </w:r>
      <w:r>
        <w:rPr>
          <w:rStyle w:val="Marquenotebasdepage"/>
          <w:rFonts w:ascii="Cambria" w:hAnsi="Cambria"/>
          <w:sz w:val="24"/>
          <w:szCs w:val="24"/>
        </w:rPr>
        <w:footnoteReference w:id="21"/>
      </w:r>
      <w:r>
        <w:rPr>
          <w:rFonts w:ascii="Cambria" w:hAnsi="Cambria"/>
          <w:sz w:val="24"/>
          <w:szCs w:val="24"/>
        </w:rPr>
        <w:t xml:space="preserve">. </w:t>
      </w:r>
    </w:p>
    <w:p w14:paraId="095A3998" w14:textId="0C4CD145" w:rsidR="00D507C0" w:rsidRPr="005022A5" w:rsidRDefault="00D507C0" w:rsidP="00E71F89">
      <w:pPr>
        <w:pStyle w:val="Sansinterligne"/>
        <w:spacing w:after="120"/>
        <w:jc w:val="both"/>
        <w:rPr>
          <w:rFonts w:ascii="Cambria" w:hAnsi="Cambria"/>
          <w:sz w:val="24"/>
          <w:szCs w:val="24"/>
        </w:rPr>
      </w:pPr>
      <w:r>
        <w:rPr>
          <w:rFonts w:ascii="Cambria" w:hAnsi="Cambria"/>
          <w:sz w:val="24"/>
          <w:szCs w:val="24"/>
        </w:rPr>
        <w:t>Or</w:t>
      </w:r>
      <w:bookmarkStart w:id="0" w:name="_GoBack"/>
      <w:bookmarkEnd w:id="0"/>
      <w:r>
        <w:rPr>
          <w:rFonts w:ascii="Cambria" w:hAnsi="Cambria"/>
          <w:sz w:val="24"/>
          <w:szCs w:val="24"/>
        </w:rPr>
        <w:t xml:space="preserve"> </w:t>
      </w:r>
      <w:proofErr w:type="gramStart"/>
      <w:r>
        <w:rPr>
          <w:rFonts w:ascii="Cambria" w:hAnsi="Cambria"/>
          <w:sz w:val="24"/>
          <w:szCs w:val="24"/>
        </w:rPr>
        <w:t>la faible prise</w:t>
      </w:r>
      <w:proofErr w:type="gramEnd"/>
      <w:r>
        <w:rPr>
          <w:rFonts w:ascii="Cambria" w:hAnsi="Cambria"/>
          <w:sz w:val="24"/>
          <w:szCs w:val="24"/>
        </w:rPr>
        <w:t xml:space="preserve"> en charge des enfants, dans l'ouest du pays, n'est pas compensée par une plus grande implication des pères. Les pères participent, il est vrai, davantage au congé parental depuis la mise en place de la réforme de 2007. La part des pères qui en </w:t>
      </w:r>
      <w:r w:rsidRPr="00461D91">
        <w:rPr>
          <w:rFonts w:ascii="Cambria" w:hAnsi="Cambria"/>
          <w:sz w:val="24"/>
          <w:szCs w:val="24"/>
        </w:rPr>
        <w:t>bénéficient est passée de 3,5% fin 2006, à 7% dès l'année suivante, puis s'est stabilisée autour de 20%. En 2011, elle s'élevait à 20,8% (</w:t>
      </w:r>
      <w:proofErr w:type="spellStart"/>
      <w:r w:rsidRPr="00461D91">
        <w:rPr>
          <w:rFonts w:ascii="Cambria" w:hAnsi="Cambria"/>
          <w:sz w:val="24"/>
          <w:szCs w:val="24"/>
        </w:rPr>
        <w:t>Statistisches</w:t>
      </w:r>
      <w:proofErr w:type="spellEnd"/>
      <w:r w:rsidRPr="00461D91">
        <w:rPr>
          <w:rFonts w:ascii="Cambria" w:hAnsi="Cambria"/>
          <w:sz w:val="24"/>
          <w:szCs w:val="24"/>
        </w:rPr>
        <w:t xml:space="preserve"> </w:t>
      </w:r>
      <w:proofErr w:type="spellStart"/>
      <w:r w:rsidRPr="00461D91">
        <w:rPr>
          <w:rFonts w:ascii="Cambria" w:hAnsi="Cambria"/>
          <w:sz w:val="24"/>
          <w:szCs w:val="24"/>
        </w:rPr>
        <w:t>Bundesamt</w:t>
      </w:r>
      <w:proofErr w:type="spellEnd"/>
      <w:r w:rsidRPr="00461D91">
        <w:rPr>
          <w:rFonts w:ascii="Cambria" w:hAnsi="Cambria"/>
          <w:sz w:val="24"/>
          <w:szCs w:val="24"/>
        </w:rPr>
        <w:t xml:space="preserve"> 2012). Mais plus des trois-quarts d'entre eux ont choisi</w:t>
      </w:r>
      <w:r>
        <w:rPr>
          <w:rFonts w:ascii="Cambria" w:hAnsi="Cambria"/>
          <w:sz w:val="24"/>
          <w:szCs w:val="24"/>
        </w:rPr>
        <w:t xml:space="preserve"> un congé n'excédant pas deux mois, tandis que 93% des femmes ont opté pour un congé de dix à douze mois</w:t>
      </w:r>
      <w:r w:rsidR="00D21D28">
        <w:rPr>
          <w:rFonts w:ascii="Cambria" w:hAnsi="Cambria"/>
          <w:sz w:val="24"/>
          <w:szCs w:val="24"/>
        </w:rPr>
        <w:t xml:space="preserve"> (voir graphique 6</w:t>
      </w:r>
      <w:r w:rsidR="00F90252">
        <w:rPr>
          <w:rFonts w:ascii="Cambria" w:hAnsi="Cambria"/>
          <w:sz w:val="24"/>
          <w:szCs w:val="24"/>
        </w:rPr>
        <w:t>)</w:t>
      </w:r>
      <w:r>
        <w:rPr>
          <w:rFonts w:ascii="Cambria" w:hAnsi="Cambria"/>
          <w:sz w:val="24"/>
          <w:szCs w:val="24"/>
        </w:rPr>
        <w:t xml:space="preserve">. Comme l'ont montré des études, </w:t>
      </w:r>
      <w:r w:rsidRPr="005022A5">
        <w:rPr>
          <w:rFonts w:ascii="Cambria" w:hAnsi="Cambria"/>
          <w:sz w:val="24"/>
          <w:szCs w:val="24"/>
        </w:rPr>
        <w:t>la répartition des tâches reste très inégalitaire, même chez les couples qui ont partagé le congé parental (Salles 2011).</w:t>
      </w:r>
    </w:p>
    <w:p w14:paraId="65603670" w14:textId="77777777" w:rsidR="00D507C0" w:rsidRDefault="00D507C0" w:rsidP="00E71F89">
      <w:pPr>
        <w:pStyle w:val="Sansinterligne"/>
        <w:spacing w:after="120"/>
        <w:jc w:val="both"/>
        <w:rPr>
          <w:rFonts w:ascii="Cambria" w:hAnsi="Cambria"/>
          <w:sz w:val="24"/>
          <w:szCs w:val="24"/>
        </w:rPr>
      </w:pPr>
    </w:p>
    <w:p w14:paraId="371545B3" w14:textId="77777777" w:rsidR="00D507C0" w:rsidRPr="00451655" w:rsidRDefault="00D507C0" w:rsidP="00E71F89">
      <w:pPr>
        <w:pStyle w:val="Sansinterligne"/>
        <w:spacing w:after="120"/>
        <w:jc w:val="both"/>
        <w:rPr>
          <w:rFonts w:ascii="Cambria" w:hAnsi="Cambria"/>
          <w:sz w:val="20"/>
          <w:szCs w:val="20"/>
        </w:rPr>
      </w:pPr>
      <w:r>
        <w:rPr>
          <w:rFonts w:ascii="Cambria" w:hAnsi="Cambria"/>
          <w:sz w:val="24"/>
          <w:szCs w:val="24"/>
        </w:rPr>
        <w:t xml:space="preserve">Graphique </w:t>
      </w:r>
      <w:r w:rsidR="00D21D28">
        <w:rPr>
          <w:rFonts w:ascii="Cambria" w:hAnsi="Cambria"/>
          <w:sz w:val="24"/>
          <w:szCs w:val="24"/>
        </w:rPr>
        <w:t>6</w:t>
      </w:r>
      <w:r>
        <w:rPr>
          <w:rFonts w:ascii="Cambria" w:hAnsi="Cambria"/>
          <w:sz w:val="24"/>
          <w:szCs w:val="24"/>
        </w:rPr>
        <w:t xml:space="preserve">: Proportion de pères et de mères ayant bénéficié d'un congé parental selon la durée de versement de l'allocation en 2011 (%). </w:t>
      </w:r>
      <w:r w:rsidRPr="00451655">
        <w:rPr>
          <w:rFonts w:ascii="Cambria" w:hAnsi="Cambria"/>
          <w:sz w:val="20"/>
          <w:szCs w:val="20"/>
          <w:lang w:val="de-DE"/>
        </w:rPr>
        <w:t xml:space="preserve">Source: Statistisches Bundesamt (dir.), 2012, </w:t>
      </w:r>
      <w:r w:rsidRPr="00451655">
        <w:rPr>
          <w:rFonts w:ascii="Cambria" w:hAnsi="Cambria"/>
          <w:i/>
          <w:iCs/>
          <w:sz w:val="20"/>
          <w:szCs w:val="20"/>
          <w:lang w:val="de-DE"/>
        </w:rPr>
        <w:t>Öffentliche Sozialleistungen. Statistik zum Elterngeld. Gemeldete beendete Leistungsbezüge. Jahr 2011</w:t>
      </w:r>
      <w:r w:rsidRPr="00451655">
        <w:rPr>
          <w:rFonts w:ascii="Cambria" w:hAnsi="Cambria"/>
          <w:iCs/>
          <w:sz w:val="20"/>
          <w:szCs w:val="20"/>
          <w:lang w:val="de-DE"/>
        </w:rPr>
        <w:t xml:space="preserve">, </w:t>
      </w:r>
      <w:r w:rsidRPr="00451655">
        <w:rPr>
          <w:rFonts w:ascii="Cambria" w:hAnsi="Cambria"/>
          <w:sz w:val="20"/>
          <w:szCs w:val="20"/>
          <w:lang w:val="de-DE"/>
        </w:rPr>
        <w:t xml:space="preserve">Wiesbaden, </w:t>
      </w:r>
      <w:hyperlink r:id="rId14" w:history="1">
        <w:r w:rsidRPr="00451655">
          <w:rPr>
            <w:rStyle w:val="Lienhypertexte"/>
            <w:rFonts w:ascii="Cambria" w:hAnsi="Cambria"/>
            <w:sz w:val="20"/>
            <w:szCs w:val="20"/>
            <w:lang w:val="de-DE"/>
          </w:rPr>
          <w:t>www.destatis.de</w:t>
        </w:r>
      </w:hyperlink>
      <w:r w:rsidRPr="00451655">
        <w:rPr>
          <w:rFonts w:ascii="Cambria" w:hAnsi="Cambria"/>
          <w:sz w:val="20"/>
          <w:szCs w:val="20"/>
          <w:lang w:val="de-DE"/>
        </w:rPr>
        <w:t>.</w:t>
      </w:r>
    </w:p>
    <w:p w14:paraId="461FA3CB" w14:textId="77777777" w:rsidR="00D507C0" w:rsidRDefault="00D507C0" w:rsidP="00E71F89">
      <w:pPr>
        <w:pStyle w:val="Sansinterligne"/>
        <w:spacing w:after="120"/>
        <w:jc w:val="both"/>
        <w:rPr>
          <w:rFonts w:ascii="Cambria" w:hAnsi="Cambria"/>
          <w:sz w:val="24"/>
          <w:szCs w:val="24"/>
        </w:rPr>
      </w:pPr>
    </w:p>
    <w:p w14:paraId="46DB6C53" w14:textId="77777777" w:rsidR="00D507C0" w:rsidRDefault="0094730F" w:rsidP="00451655">
      <w:pPr>
        <w:pStyle w:val="Sansinterligne"/>
        <w:spacing w:after="120"/>
        <w:jc w:val="center"/>
        <w:rPr>
          <w:rFonts w:ascii="Cambria" w:hAnsi="Cambria"/>
          <w:sz w:val="24"/>
          <w:szCs w:val="24"/>
        </w:rPr>
      </w:pPr>
      <w:r>
        <w:rPr>
          <w:rFonts w:ascii="Cambria" w:hAnsi="Cambria"/>
          <w:noProof/>
          <w:sz w:val="24"/>
          <w:szCs w:val="24"/>
          <w:lang w:eastAsia="fr-FR"/>
        </w:rPr>
        <w:drawing>
          <wp:inline distT="0" distB="0" distL="0" distR="0" wp14:anchorId="0FBFDF29" wp14:editId="4EE0F1BC">
            <wp:extent cx="4575421" cy="2743461"/>
            <wp:effectExtent l="12192" t="6089" r="3437" b="0"/>
            <wp:docPr id="7"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D7943A" w14:textId="77777777" w:rsidR="00D507C0" w:rsidRDefault="00D507C0" w:rsidP="00E71F89">
      <w:pPr>
        <w:pStyle w:val="Sansinterligne"/>
        <w:spacing w:after="120"/>
        <w:jc w:val="both"/>
        <w:rPr>
          <w:rFonts w:ascii="Cambria" w:hAnsi="Cambria"/>
          <w:sz w:val="24"/>
          <w:szCs w:val="24"/>
        </w:rPr>
      </w:pPr>
    </w:p>
    <w:p w14:paraId="6B5E5A5F"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lastRenderedPageBreak/>
        <w:t>Il n'est donc guère surprenant que le taux d'emploi des mères d'enfants de moins de trois ans n'ait que peu évolué ces dernières années, dans l'ouest du pays. Alors qu'il avait augmenté dans la deuxième moitié des années 1990, passant d'un peu plus d'un quart à environ 30% en 2001, il est resté stable depuis. A l'échelle du pays, le taux d'emploi des mères d'enfants de moins de trois ans s'élevait, en 201</w:t>
      </w:r>
      <w:r w:rsidR="003C1F01">
        <w:rPr>
          <w:rFonts w:ascii="Cambria" w:hAnsi="Cambria"/>
          <w:sz w:val="24"/>
          <w:szCs w:val="24"/>
        </w:rPr>
        <w:t>1</w:t>
      </w:r>
      <w:r>
        <w:rPr>
          <w:rFonts w:ascii="Cambria" w:hAnsi="Cambria"/>
          <w:sz w:val="24"/>
          <w:szCs w:val="24"/>
        </w:rPr>
        <w:t>, à 31,</w:t>
      </w:r>
      <w:r w:rsidR="003C1F01">
        <w:rPr>
          <w:rFonts w:ascii="Cambria" w:hAnsi="Cambria"/>
          <w:sz w:val="24"/>
          <w:szCs w:val="24"/>
        </w:rPr>
        <w:t>6</w:t>
      </w:r>
      <w:r>
        <w:rPr>
          <w:rFonts w:ascii="Cambria" w:hAnsi="Cambria"/>
          <w:sz w:val="24"/>
          <w:szCs w:val="24"/>
        </w:rPr>
        <w:t>%</w:t>
      </w:r>
      <w:r>
        <w:rPr>
          <w:rStyle w:val="Marquenotebasdepage"/>
          <w:rFonts w:ascii="Cambria" w:hAnsi="Cambria"/>
          <w:sz w:val="24"/>
          <w:szCs w:val="24"/>
        </w:rPr>
        <w:footnoteReference w:id="22"/>
      </w:r>
      <w:r>
        <w:rPr>
          <w:rFonts w:ascii="Cambria" w:hAnsi="Cambria"/>
          <w:sz w:val="24"/>
          <w:szCs w:val="24"/>
        </w:rPr>
        <w:t>.</w:t>
      </w:r>
      <w:r w:rsidR="00EB3B2A">
        <w:rPr>
          <w:rFonts w:ascii="Cambria" w:hAnsi="Cambria"/>
          <w:sz w:val="24"/>
          <w:szCs w:val="24"/>
        </w:rPr>
        <w:t xml:space="preserve"> </w:t>
      </w:r>
      <w:r w:rsidR="00017EAC">
        <w:rPr>
          <w:rFonts w:ascii="Cambria" w:hAnsi="Cambria"/>
          <w:sz w:val="24"/>
          <w:szCs w:val="24"/>
        </w:rPr>
        <w:t>Et</w:t>
      </w:r>
      <w:r w:rsidR="00EB3B2A">
        <w:rPr>
          <w:rFonts w:ascii="Cambria" w:hAnsi="Cambria"/>
          <w:sz w:val="24"/>
          <w:szCs w:val="24"/>
        </w:rPr>
        <w:t xml:space="preserve"> </w:t>
      </w:r>
      <w:r w:rsidR="00017EAC">
        <w:rPr>
          <w:rFonts w:ascii="Cambria" w:hAnsi="Cambria"/>
          <w:sz w:val="24"/>
          <w:szCs w:val="24"/>
        </w:rPr>
        <w:t xml:space="preserve">la grande majorité des mères actives travaillent à temps partiel, ce qui </w:t>
      </w:r>
      <w:proofErr w:type="gramStart"/>
      <w:r w:rsidR="00017EAC">
        <w:rPr>
          <w:rFonts w:ascii="Cambria" w:hAnsi="Cambria"/>
          <w:sz w:val="24"/>
          <w:szCs w:val="24"/>
        </w:rPr>
        <w:t>s'explique</w:t>
      </w:r>
      <w:proofErr w:type="gramEnd"/>
      <w:r w:rsidR="00017EAC">
        <w:rPr>
          <w:rFonts w:ascii="Cambria" w:hAnsi="Cambria"/>
          <w:sz w:val="24"/>
          <w:szCs w:val="24"/>
        </w:rPr>
        <w:t xml:space="preserve"> notamment par les horaires d'accueil réduits des écoles dans l'ouest du pays</w:t>
      </w:r>
      <w:r w:rsidR="00A85A4D">
        <w:rPr>
          <w:rStyle w:val="Marquenotebasdepage"/>
          <w:rFonts w:ascii="Cambria" w:hAnsi="Cambria"/>
          <w:sz w:val="24"/>
          <w:szCs w:val="24"/>
        </w:rPr>
        <w:footnoteReference w:id="23"/>
      </w:r>
      <w:r w:rsidR="00017EAC">
        <w:rPr>
          <w:rFonts w:ascii="Cambria" w:hAnsi="Cambria"/>
          <w:sz w:val="24"/>
          <w:szCs w:val="24"/>
        </w:rPr>
        <w:t>.</w:t>
      </w:r>
      <w:r w:rsidR="00512720">
        <w:rPr>
          <w:rFonts w:ascii="Cambria" w:hAnsi="Cambria"/>
          <w:sz w:val="24"/>
          <w:szCs w:val="24"/>
        </w:rPr>
        <w:t xml:space="preserve"> Cet essor du travail à temps partiel montre les limites de l'indicateur que constitue le taux d'emploi, car il ne tient pas compte du temps de travail. Or le développement de l'activité à temps partiel chez les femmes peut contribuer à accentuer les inégalités entre hommes et femmes.</w:t>
      </w:r>
    </w:p>
    <w:p w14:paraId="1DBDDE88" w14:textId="77777777" w:rsidR="00272AB1" w:rsidRDefault="00272AB1" w:rsidP="00E71F89">
      <w:pPr>
        <w:pStyle w:val="Sansinterligne"/>
        <w:spacing w:after="120"/>
        <w:jc w:val="both"/>
        <w:rPr>
          <w:rFonts w:ascii="Cambria" w:hAnsi="Cambria"/>
          <w:sz w:val="24"/>
          <w:szCs w:val="24"/>
        </w:rPr>
      </w:pPr>
    </w:p>
    <w:p w14:paraId="180ED02A" w14:textId="77777777" w:rsidR="00272AB1" w:rsidRPr="00272AB1" w:rsidRDefault="00272AB1" w:rsidP="00272AB1">
      <w:pPr>
        <w:pStyle w:val="Sansinterligne"/>
        <w:numPr>
          <w:ilvl w:val="0"/>
          <w:numId w:val="7"/>
        </w:numPr>
        <w:spacing w:after="120"/>
        <w:jc w:val="both"/>
        <w:rPr>
          <w:rFonts w:ascii="Cambria" w:hAnsi="Cambria"/>
          <w:b/>
          <w:sz w:val="24"/>
          <w:szCs w:val="24"/>
        </w:rPr>
      </w:pPr>
      <w:r w:rsidRPr="00272AB1">
        <w:rPr>
          <w:rFonts w:ascii="Cambria" w:hAnsi="Cambria"/>
          <w:b/>
          <w:sz w:val="24"/>
          <w:szCs w:val="24"/>
        </w:rPr>
        <w:t xml:space="preserve">Pourquoi ce bilan </w:t>
      </w:r>
      <w:proofErr w:type="gramStart"/>
      <w:r w:rsidR="00EB3B2A">
        <w:rPr>
          <w:rFonts w:ascii="Cambria" w:hAnsi="Cambria"/>
          <w:b/>
          <w:sz w:val="24"/>
          <w:szCs w:val="24"/>
        </w:rPr>
        <w:t>nuanc</w:t>
      </w:r>
      <w:r w:rsidRPr="00272AB1">
        <w:rPr>
          <w:rFonts w:ascii="Cambria" w:hAnsi="Cambria"/>
          <w:b/>
          <w:sz w:val="24"/>
          <w:szCs w:val="24"/>
        </w:rPr>
        <w:t>é</w:t>
      </w:r>
      <w:proofErr w:type="gramEnd"/>
      <w:r w:rsidRPr="00272AB1">
        <w:rPr>
          <w:rFonts w:ascii="Cambria" w:hAnsi="Cambria"/>
          <w:b/>
          <w:sz w:val="24"/>
          <w:szCs w:val="24"/>
        </w:rPr>
        <w:t>?</w:t>
      </w:r>
    </w:p>
    <w:p w14:paraId="0B549D0C" w14:textId="77777777" w:rsidR="00B778CC" w:rsidRDefault="000E79E9" w:rsidP="00E71F89">
      <w:pPr>
        <w:pStyle w:val="Sansinterligne"/>
        <w:spacing w:after="120"/>
        <w:jc w:val="both"/>
        <w:rPr>
          <w:rFonts w:ascii="Cambria" w:hAnsi="Cambria"/>
          <w:sz w:val="24"/>
          <w:szCs w:val="24"/>
        </w:rPr>
      </w:pPr>
      <w:r>
        <w:rPr>
          <w:rFonts w:ascii="Cambria" w:hAnsi="Cambria"/>
          <w:sz w:val="24"/>
          <w:szCs w:val="24"/>
        </w:rPr>
        <w:t>Les objectifs ne sont donc que partiellement atteints</w:t>
      </w:r>
      <w:r w:rsidR="009A26DE">
        <w:rPr>
          <w:rFonts w:ascii="Cambria" w:hAnsi="Cambria"/>
          <w:sz w:val="24"/>
          <w:szCs w:val="24"/>
        </w:rPr>
        <w:t>, ce qui s'explique en partie par le cadre institutionnel</w:t>
      </w:r>
      <w:r w:rsidR="00EB3B2A">
        <w:rPr>
          <w:rFonts w:ascii="Cambria" w:hAnsi="Cambria"/>
          <w:sz w:val="24"/>
          <w:szCs w:val="24"/>
        </w:rPr>
        <w:t>.</w:t>
      </w:r>
      <w:r w:rsidR="009A26DE">
        <w:rPr>
          <w:rFonts w:ascii="Cambria" w:hAnsi="Cambria"/>
          <w:sz w:val="24"/>
          <w:szCs w:val="24"/>
        </w:rPr>
        <w:t xml:space="preserve"> </w:t>
      </w:r>
      <w:r w:rsidR="00B778CC">
        <w:rPr>
          <w:rFonts w:ascii="Cambria" w:hAnsi="Cambria"/>
          <w:sz w:val="24"/>
          <w:szCs w:val="24"/>
        </w:rPr>
        <w:t>L'Allemagne étant un Etat fédéral, l'essor des infrastructures d'accueil relève des pouvoirs locaux et non du gouvernement fédéral. La pénurie de places d'accueil s'explique ainsi par des résistances locales liées aussi bien à des questions budgétaires qu'à des réticences culturelles dans certaines régions.</w:t>
      </w:r>
    </w:p>
    <w:p w14:paraId="48199B44" w14:textId="77777777" w:rsidR="00272AB1" w:rsidRDefault="00B778CC" w:rsidP="00E71F89">
      <w:pPr>
        <w:pStyle w:val="Sansinterligne"/>
        <w:spacing w:after="120"/>
        <w:jc w:val="both"/>
        <w:rPr>
          <w:rFonts w:ascii="Cambria" w:hAnsi="Cambria"/>
          <w:sz w:val="24"/>
          <w:szCs w:val="24"/>
        </w:rPr>
      </w:pPr>
      <w:r>
        <w:rPr>
          <w:rFonts w:ascii="Cambria" w:hAnsi="Cambria"/>
          <w:sz w:val="24"/>
          <w:szCs w:val="24"/>
        </w:rPr>
        <w:t xml:space="preserve">De plus la politique familiale n'est pas exempte d'ambiguïtés. </w:t>
      </w:r>
      <w:r w:rsidR="009A26DE">
        <w:rPr>
          <w:rFonts w:ascii="Cambria" w:hAnsi="Cambria"/>
          <w:sz w:val="24"/>
          <w:szCs w:val="24"/>
        </w:rPr>
        <w:t xml:space="preserve">Si d'un côté, le gouvernement a introduit des réformes visant explicitement à inciter les mères à se maintenir sur le marché du travail ou à réduire la durée de l'interruption d'activité, il a en revanche maintenu certains instruments qui favorisent au contraire le modèle traditionnel. On peut citer le quotient conjugal, un avantage fiscal conséquent pour les couples mariés présentant de forts écarts de salaire, donc précisément lorsque la femme ne travaille pas ou peu, mais aussi la possibilité pour les femmes mariées sans activité professionnelle de bénéficier de la couverture sociale de leur mari. De plus, bien que l'allocation parentale ne soit plus versée que sur une période d'un an, le congé parental, lui, dure toujours trois ans, ce qui, en cette situation de pénurie de places d'accueil, dans l'ouest du pays, constitue un fort incitatif au retrait d'activité. </w:t>
      </w:r>
    </w:p>
    <w:p w14:paraId="19666B9A" w14:textId="77777777" w:rsidR="00284EB0" w:rsidRDefault="009A26DE" w:rsidP="00E71F89">
      <w:pPr>
        <w:pStyle w:val="Sansinterligne"/>
        <w:spacing w:after="120"/>
        <w:jc w:val="both"/>
        <w:rPr>
          <w:rFonts w:ascii="Cambria" w:hAnsi="Cambria"/>
          <w:sz w:val="24"/>
          <w:szCs w:val="24"/>
        </w:rPr>
      </w:pPr>
      <w:r>
        <w:rPr>
          <w:rFonts w:ascii="Cambria" w:hAnsi="Cambria"/>
          <w:sz w:val="24"/>
          <w:szCs w:val="24"/>
        </w:rPr>
        <w:t xml:space="preserve">Cette </w:t>
      </w:r>
      <w:r w:rsidR="00B778CC">
        <w:rPr>
          <w:rFonts w:ascii="Cambria" w:hAnsi="Cambria"/>
          <w:sz w:val="24"/>
          <w:szCs w:val="24"/>
        </w:rPr>
        <w:t>ambivalence</w:t>
      </w:r>
      <w:r>
        <w:rPr>
          <w:rFonts w:ascii="Cambria" w:hAnsi="Cambria"/>
          <w:sz w:val="24"/>
          <w:szCs w:val="24"/>
        </w:rPr>
        <w:t xml:space="preserve"> ressort tout particulièrement de l'entrée en vigueur en août 2013 de la prime à la garde, qui peut, elle aussi, favoriser l'interruption prolongée d'activité chez les mères.  </w:t>
      </w:r>
      <w:r w:rsidR="00DB4179">
        <w:rPr>
          <w:rFonts w:ascii="Cambria" w:hAnsi="Cambria"/>
          <w:sz w:val="24"/>
          <w:szCs w:val="24"/>
        </w:rPr>
        <w:t xml:space="preserve">En d'autres termes, le gouvernement joue actuellement sur les deux tableaux en proposant des mesures de politique familiale qui s'adresse aussi bien aux ménages </w:t>
      </w:r>
      <w:proofErr w:type="spellStart"/>
      <w:r w:rsidR="00DB4179">
        <w:rPr>
          <w:rFonts w:ascii="Cambria" w:hAnsi="Cambria"/>
          <w:sz w:val="24"/>
          <w:szCs w:val="24"/>
        </w:rPr>
        <w:t>bi-actifs</w:t>
      </w:r>
      <w:proofErr w:type="spellEnd"/>
      <w:r w:rsidR="00DB4179">
        <w:rPr>
          <w:rFonts w:ascii="Cambria" w:hAnsi="Cambria"/>
          <w:sz w:val="24"/>
          <w:szCs w:val="24"/>
        </w:rPr>
        <w:t xml:space="preserve"> qu'aux couples privilégiant un partage traditionnel des tâches. Ce choix peut s'expliquer en partie par certaines réticences toujours bien présentes en Allemagne face à l'activité professionnelle des mères. De nombreuses femmes ne souhaitent pas concilier travail et famille. Ainsi, d'après une étude de l'Office fédéral des statistiques, basée sur le micro-recensement, 26% des mères d'enfants de moins de quinze ans ne travaillent pas et ne sont pas à la recherche d'un emploi. 70% d'entre elles indiquent que ce choix est sans rapport avec la disponibilité </w:t>
      </w:r>
      <w:r w:rsidR="00284EB0">
        <w:rPr>
          <w:rFonts w:ascii="Cambria" w:hAnsi="Cambria"/>
          <w:sz w:val="24"/>
          <w:szCs w:val="24"/>
        </w:rPr>
        <w:t xml:space="preserve">ou le coût </w:t>
      </w:r>
      <w:r w:rsidR="00DB4179">
        <w:rPr>
          <w:rFonts w:ascii="Cambria" w:hAnsi="Cambria"/>
          <w:sz w:val="24"/>
          <w:szCs w:val="24"/>
        </w:rPr>
        <w:t>de</w:t>
      </w:r>
      <w:r w:rsidR="00284EB0">
        <w:rPr>
          <w:rFonts w:ascii="Cambria" w:hAnsi="Cambria"/>
          <w:sz w:val="24"/>
          <w:szCs w:val="24"/>
        </w:rPr>
        <w:t>s</w:t>
      </w:r>
      <w:r w:rsidR="00DB4179">
        <w:rPr>
          <w:rFonts w:ascii="Cambria" w:hAnsi="Cambria"/>
          <w:sz w:val="24"/>
          <w:szCs w:val="24"/>
        </w:rPr>
        <w:t xml:space="preserve"> </w:t>
      </w:r>
      <w:r w:rsidR="00284EB0">
        <w:rPr>
          <w:rFonts w:ascii="Cambria" w:hAnsi="Cambria"/>
          <w:sz w:val="24"/>
          <w:szCs w:val="24"/>
        </w:rPr>
        <w:t>infrastructures</w:t>
      </w:r>
      <w:r w:rsidR="00DB4179">
        <w:rPr>
          <w:rFonts w:ascii="Cambria" w:hAnsi="Cambria"/>
          <w:sz w:val="24"/>
          <w:szCs w:val="24"/>
        </w:rPr>
        <w:t xml:space="preserve"> d'accueil</w:t>
      </w:r>
      <w:r w:rsidR="005140A2">
        <w:rPr>
          <w:rStyle w:val="Marquenotebasdepage"/>
          <w:rFonts w:ascii="Cambria" w:hAnsi="Cambria"/>
          <w:sz w:val="24"/>
          <w:szCs w:val="24"/>
        </w:rPr>
        <w:footnoteReference w:id="24"/>
      </w:r>
      <w:r w:rsidR="00DB4179">
        <w:rPr>
          <w:rFonts w:ascii="Cambria" w:hAnsi="Cambria"/>
          <w:sz w:val="24"/>
          <w:szCs w:val="24"/>
        </w:rPr>
        <w:t xml:space="preserve">. </w:t>
      </w:r>
      <w:r w:rsidR="005D27AB">
        <w:rPr>
          <w:rFonts w:ascii="Cambria" w:hAnsi="Cambria"/>
          <w:sz w:val="24"/>
          <w:szCs w:val="24"/>
        </w:rPr>
        <w:t xml:space="preserve">Et quant aux mères qui travaillent, elles privilégient, à l'ouest notamment, une activité qui s'inscrit dans les horaires d'ouverture des écoles, ce qui explique l'impact du travail </w:t>
      </w:r>
      <w:r w:rsidR="005D27AB">
        <w:rPr>
          <w:rFonts w:ascii="Cambria" w:hAnsi="Cambria"/>
          <w:sz w:val="24"/>
          <w:szCs w:val="24"/>
        </w:rPr>
        <w:lastRenderedPageBreak/>
        <w:t>à temps partiel parmi les mères et le volume horaire relativement réduit chez les mères en Allemagne.</w:t>
      </w:r>
      <w:r w:rsidR="00B778CC">
        <w:rPr>
          <w:rFonts w:ascii="Cambria" w:hAnsi="Cambria"/>
          <w:sz w:val="24"/>
          <w:szCs w:val="24"/>
        </w:rPr>
        <w:t xml:space="preserve"> </w:t>
      </w:r>
    </w:p>
    <w:p w14:paraId="093ABC01" w14:textId="77777777" w:rsidR="00284EB0" w:rsidRDefault="00284EB0" w:rsidP="00284EB0">
      <w:pPr>
        <w:pStyle w:val="Sansinterligne"/>
        <w:spacing w:after="120"/>
        <w:jc w:val="both"/>
        <w:rPr>
          <w:rFonts w:ascii="Cambria" w:hAnsi="Cambria"/>
          <w:sz w:val="24"/>
          <w:szCs w:val="24"/>
        </w:rPr>
      </w:pPr>
      <w:r>
        <w:rPr>
          <w:rFonts w:ascii="Cambria" w:hAnsi="Cambria"/>
          <w:sz w:val="24"/>
          <w:szCs w:val="24"/>
        </w:rPr>
        <w:t xml:space="preserve">En d'autres termes, l'ambiguïté de la politique familiale allemande s'explique par une volonté de satisfaire le plus grand nombre, mais aussi par des compromis politiques réalisés en particulier avec le parti chrétien-social bavarois (CSU), partenaire de la coalition actuelle, connu pour ses positions traditionnalistes. </w:t>
      </w:r>
    </w:p>
    <w:p w14:paraId="2D4B29A9" w14:textId="77777777" w:rsidR="009A26DE" w:rsidRDefault="00284EB0" w:rsidP="00E71F89">
      <w:pPr>
        <w:pStyle w:val="Sansinterligne"/>
        <w:spacing w:after="120"/>
        <w:jc w:val="both"/>
        <w:rPr>
          <w:rFonts w:ascii="Cambria" w:hAnsi="Cambria"/>
          <w:sz w:val="24"/>
          <w:szCs w:val="24"/>
        </w:rPr>
      </w:pPr>
      <w:r>
        <w:rPr>
          <w:rFonts w:ascii="Cambria" w:hAnsi="Cambria"/>
          <w:sz w:val="24"/>
          <w:szCs w:val="24"/>
        </w:rPr>
        <w:t xml:space="preserve">Cette ambiguïté révèle une certaine tension dans les objectifs européens. Selon P. </w:t>
      </w:r>
      <w:proofErr w:type="spellStart"/>
      <w:r>
        <w:rPr>
          <w:rFonts w:ascii="Cambria" w:hAnsi="Cambria"/>
          <w:sz w:val="24"/>
          <w:szCs w:val="24"/>
        </w:rPr>
        <w:t>Courtioux</w:t>
      </w:r>
      <w:proofErr w:type="spellEnd"/>
      <w:r>
        <w:rPr>
          <w:rFonts w:ascii="Cambria" w:hAnsi="Cambria"/>
          <w:sz w:val="24"/>
          <w:szCs w:val="24"/>
        </w:rPr>
        <w:t xml:space="preserve"> et O. </w:t>
      </w:r>
      <w:proofErr w:type="spellStart"/>
      <w:r>
        <w:rPr>
          <w:rFonts w:ascii="Cambria" w:hAnsi="Cambria"/>
          <w:sz w:val="24"/>
          <w:szCs w:val="24"/>
        </w:rPr>
        <w:t>Thévenon</w:t>
      </w:r>
      <w:proofErr w:type="spellEnd"/>
      <w:r>
        <w:rPr>
          <w:rFonts w:ascii="Cambria" w:hAnsi="Cambria"/>
          <w:sz w:val="24"/>
          <w:szCs w:val="24"/>
        </w:rPr>
        <w:t xml:space="preserve"> (2007: 13), les instances communautaires tendent à ignorer dans la formulation de leurs objectifs le conflit qui oppose le « </w:t>
      </w:r>
      <w:r w:rsidRPr="00284EB0">
        <w:rPr>
          <w:rFonts w:ascii="Cambria" w:hAnsi="Cambria"/>
          <w:i/>
          <w:sz w:val="24"/>
          <w:szCs w:val="24"/>
        </w:rPr>
        <w:t>développement des enfants et le temps parental qui y est nécessaire et l'emploi des parents au risque d'instrumentaliser le sort des enfants pour promouvoir l'emploi des parents dans toutes les conditions</w:t>
      </w:r>
      <w:r>
        <w:rPr>
          <w:rFonts w:ascii="Cambria" w:hAnsi="Cambria"/>
          <w:sz w:val="24"/>
          <w:szCs w:val="24"/>
        </w:rPr>
        <w:t> ».</w:t>
      </w:r>
    </w:p>
    <w:p w14:paraId="378A142F" w14:textId="77777777" w:rsidR="00D507C0" w:rsidRDefault="00EF4162" w:rsidP="006B4C3A">
      <w:pPr>
        <w:pStyle w:val="Sansinterligne"/>
        <w:spacing w:after="120"/>
        <w:jc w:val="both"/>
        <w:rPr>
          <w:rFonts w:ascii="Cambria" w:hAnsi="Cambria"/>
          <w:sz w:val="24"/>
          <w:szCs w:val="24"/>
        </w:rPr>
      </w:pPr>
      <w:r>
        <w:rPr>
          <w:rFonts w:ascii="Cambria" w:hAnsi="Cambria"/>
          <w:sz w:val="24"/>
          <w:szCs w:val="24"/>
        </w:rPr>
        <w:t>Il faut néanmoins nuancer ce constat. L</w:t>
      </w:r>
      <w:r w:rsidR="00D507C0">
        <w:rPr>
          <w:rFonts w:ascii="Cambria" w:hAnsi="Cambria"/>
          <w:sz w:val="24"/>
          <w:szCs w:val="24"/>
        </w:rPr>
        <w:t xml:space="preserve">e nouveau congé parental allemand peut-être perçu comme une avancée à plus d'un titre. Bien que la participation des pères au congé parental soit beaucoup plus modeste que celle des mères, elle reste très supérieure à celle des pères dans de nombreux autres pays européens. L'Allemagne fait ainsi partie des rares pays </w:t>
      </w:r>
      <w:r w:rsidR="0051412A">
        <w:rPr>
          <w:rFonts w:ascii="Cambria" w:hAnsi="Cambria"/>
          <w:sz w:val="24"/>
          <w:szCs w:val="24"/>
        </w:rPr>
        <w:t>qui atteignent</w:t>
      </w:r>
      <w:r w:rsidR="00D507C0">
        <w:rPr>
          <w:rFonts w:ascii="Cambria" w:hAnsi="Cambria"/>
          <w:sz w:val="24"/>
          <w:szCs w:val="24"/>
        </w:rPr>
        <w:t xml:space="preserve"> d'ores et déjà l'objectif que s'est fixée l'UE en 2010 d'un congé parental réservant au moins un mois au deuxième parent, le plus souvent le père. Par ailleurs, si le taux d'emploi des mères d'enfants de moins de trois ans n'a guère évolué, la proportion de femmes actives </w:t>
      </w:r>
      <w:r w:rsidR="00D507C0" w:rsidRPr="00C90FA2">
        <w:rPr>
          <w:rFonts w:ascii="Cambria" w:hAnsi="Cambria"/>
          <w:i/>
          <w:sz w:val="24"/>
          <w:szCs w:val="24"/>
        </w:rPr>
        <w:t>avant</w:t>
      </w:r>
      <w:r w:rsidR="00D507C0">
        <w:rPr>
          <w:rFonts w:ascii="Cambria" w:hAnsi="Cambria"/>
          <w:sz w:val="24"/>
          <w:szCs w:val="24"/>
        </w:rPr>
        <w:t xml:space="preserve"> le congé parental a sensiblement progressé. Elle est passée de 52% à 61,3% entre 2008 et 2001, soit en l'espace de trois ans. Le congé parental peut avoir incité des femmes à se maintenir en activité ou à reprendre une activité professionnelle avant d'avoir un enfant afin de maximiser le montant de l'allocation. Il peut aussi avoir levé des obstacles, chez les femmes actives, à la réalisation de projets familiaux.</w:t>
      </w:r>
    </w:p>
    <w:p w14:paraId="4735161B" w14:textId="77777777" w:rsidR="00D507C0" w:rsidRDefault="00D507C0" w:rsidP="006B4C3A">
      <w:pPr>
        <w:pStyle w:val="Sansinterligne"/>
        <w:spacing w:after="120"/>
        <w:jc w:val="both"/>
        <w:rPr>
          <w:rFonts w:ascii="Cambria" w:hAnsi="Cambria"/>
          <w:sz w:val="24"/>
          <w:szCs w:val="24"/>
        </w:rPr>
      </w:pPr>
    </w:p>
    <w:p w14:paraId="5A9DEB24" w14:textId="77777777" w:rsidR="00D507C0" w:rsidRDefault="00D507C0" w:rsidP="006B4C3A">
      <w:pPr>
        <w:pStyle w:val="Sansinterligne"/>
        <w:spacing w:after="120"/>
        <w:jc w:val="both"/>
        <w:rPr>
          <w:rFonts w:ascii="Cambria" w:hAnsi="Cambria"/>
          <w:sz w:val="24"/>
          <w:szCs w:val="24"/>
        </w:rPr>
      </w:pPr>
    </w:p>
    <w:p w14:paraId="77529C0A" w14:textId="77777777" w:rsidR="00D507C0" w:rsidRDefault="00D507C0" w:rsidP="006B4C3A">
      <w:pPr>
        <w:pStyle w:val="Sansinterligne"/>
        <w:spacing w:after="120"/>
        <w:jc w:val="both"/>
        <w:rPr>
          <w:rFonts w:ascii="Cambria" w:hAnsi="Cambria"/>
          <w:b/>
          <w:sz w:val="24"/>
          <w:szCs w:val="24"/>
        </w:rPr>
      </w:pPr>
      <w:r w:rsidRPr="002915E2">
        <w:rPr>
          <w:rFonts w:ascii="Cambria" w:hAnsi="Cambria"/>
          <w:b/>
          <w:sz w:val="24"/>
          <w:szCs w:val="24"/>
        </w:rPr>
        <w:t>Pour conclure</w:t>
      </w:r>
      <w:r>
        <w:rPr>
          <w:rFonts w:ascii="Cambria" w:hAnsi="Cambria"/>
          <w:b/>
          <w:sz w:val="24"/>
          <w:szCs w:val="24"/>
        </w:rPr>
        <w:t>,</w:t>
      </w:r>
    </w:p>
    <w:p w14:paraId="37393547" w14:textId="77777777" w:rsidR="00D507C0" w:rsidRPr="002915E2" w:rsidRDefault="00D507C0" w:rsidP="006B4C3A">
      <w:pPr>
        <w:pStyle w:val="Sansinterligne"/>
        <w:spacing w:after="120"/>
        <w:jc w:val="both"/>
        <w:rPr>
          <w:rFonts w:ascii="Cambria" w:hAnsi="Cambria"/>
          <w:b/>
          <w:sz w:val="24"/>
          <w:szCs w:val="24"/>
        </w:rPr>
      </w:pPr>
    </w:p>
    <w:p w14:paraId="28BDB232" w14:textId="77777777" w:rsidR="00D507C0" w:rsidRDefault="00D507C0" w:rsidP="006B4C3A">
      <w:pPr>
        <w:pStyle w:val="Sansinterligne"/>
        <w:spacing w:after="120"/>
        <w:jc w:val="both"/>
        <w:rPr>
          <w:rFonts w:ascii="Cambria" w:hAnsi="Cambria"/>
          <w:sz w:val="24"/>
          <w:szCs w:val="24"/>
        </w:rPr>
      </w:pPr>
      <w:r>
        <w:rPr>
          <w:rFonts w:ascii="Cambria" w:hAnsi="Cambria"/>
          <w:sz w:val="24"/>
          <w:szCs w:val="24"/>
        </w:rPr>
        <w:t>Le rapport entre l'Union Européenne et les Etats-membres quant à une éventuelle influence sur les politiques familiales semble s'être inversé. L'Union Européenne a beaucoup tardé à adopter des positions sur les questions de politique sociale et s'est longtemps cantonnée dans des décisions a minima correspondant au plus petit dénominateur commun, plutôt qu'à une politique d'impulsion. En témoigne la directive sur le congé parental adoptée en 1996 qui manquait singulièrement d'ambition. Tout se passe comme si l'Union Européenne prenait le train en marche, son approche s'apparentant alors davantage à une logique de rattrapage ciblée sur les Etats à la traîne, en réponse à une demande émanant de certains Etats membres, plutôt qu'à un rôle de locomotive dans les questions familiales. Aussi, l'Allemagne, comme de nombreux autres pays, avait devancé l'Europe et allait, dans son soutien aux familles, au-delà des recommandations communautaires, il est vrai fort modestes.</w:t>
      </w:r>
    </w:p>
    <w:p w14:paraId="1069F3FF" w14:textId="77777777" w:rsidR="00D507C0" w:rsidRDefault="00D507C0" w:rsidP="006B4C3A">
      <w:pPr>
        <w:pStyle w:val="Sansinterligne"/>
        <w:spacing w:after="120"/>
        <w:jc w:val="both"/>
        <w:rPr>
          <w:rFonts w:ascii="Cambria" w:hAnsi="Cambria"/>
          <w:sz w:val="24"/>
          <w:szCs w:val="24"/>
        </w:rPr>
      </w:pPr>
      <w:r>
        <w:rPr>
          <w:rFonts w:ascii="Cambria" w:hAnsi="Cambria"/>
          <w:sz w:val="24"/>
          <w:szCs w:val="24"/>
        </w:rPr>
        <w:t xml:space="preserve">Cette approche a cependant cédé la place, au début des années 2000, à une volonté de jouer un rôle initiateur. Sous l'influence de nouveaux Etats-membres, telle que la </w:t>
      </w:r>
      <w:r>
        <w:rPr>
          <w:rFonts w:ascii="Cambria" w:hAnsi="Cambria"/>
          <w:sz w:val="24"/>
          <w:szCs w:val="24"/>
        </w:rPr>
        <w:lastRenderedPageBreak/>
        <w:t>Suède</w:t>
      </w:r>
      <w:r w:rsidR="00FC1550">
        <w:rPr>
          <w:rStyle w:val="Marquenotebasdepage"/>
          <w:rFonts w:ascii="Cambria" w:hAnsi="Cambria"/>
          <w:sz w:val="24"/>
          <w:szCs w:val="24"/>
        </w:rPr>
        <w:footnoteReference w:id="25"/>
      </w:r>
      <w:r>
        <w:rPr>
          <w:rFonts w:ascii="Cambria" w:hAnsi="Cambria"/>
          <w:sz w:val="24"/>
          <w:szCs w:val="24"/>
        </w:rPr>
        <w:t xml:space="preserve">, l'Union Européenne s'est fixé, dans le cadre de la Stratégie de Lisbonne adoptée en 2000, des objectifs beaucoup plus ambitieux, dont la plupart des Etats européens étaient éloignés à l'époque. En d'autres termes, l'UE souhaite désormais jouer un rôle moteur dans les politiques familiales, et impulser des réformes. Cet objectif semble bien atteint dans le cas de l'Allemagne. L'Allemagne a en effet mis en œuvre des réformes en profondeur afin d'impliquer davantage les pères dans les tâches domestiques et familiales, de soutenir la participation des mères à l'emploi et de favoriser les naissances. </w:t>
      </w:r>
    </w:p>
    <w:p w14:paraId="4BC22A38" w14:textId="77777777" w:rsidR="00D507C0" w:rsidRDefault="00D507C0" w:rsidP="006B4C3A">
      <w:pPr>
        <w:pStyle w:val="Sansinterligne"/>
        <w:spacing w:after="120"/>
        <w:jc w:val="both"/>
        <w:rPr>
          <w:rFonts w:ascii="Cambria" w:hAnsi="Cambria"/>
          <w:sz w:val="24"/>
          <w:szCs w:val="24"/>
        </w:rPr>
      </w:pPr>
      <w:r>
        <w:rPr>
          <w:rFonts w:ascii="Cambria" w:hAnsi="Cambria"/>
          <w:sz w:val="24"/>
          <w:szCs w:val="24"/>
        </w:rPr>
        <w:t>Ces réformes n'ont cependant abouti que partiellement, dans la mesure où le gouvernement allemand se heurte à</w:t>
      </w:r>
      <w:r w:rsidR="00685CE3">
        <w:rPr>
          <w:rFonts w:ascii="Cambria" w:hAnsi="Cambria"/>
          <w:sz w:val="24"/>
          <w:szCs w:val="24"/>
        </w:rPr>
        <w:t xml:space="preserve"> des obstacles d'ordre culturel et institutionnel</w:t>
      </w:r>
      <w:r>
        <w:rPr>
          <w:rFonts w:ascii="Cambria" w:hAnsi="Cambria"/>
          <w:sz w:val="24"/>
          <w:szCs w:val="24"/>
        </w:rPr>
        <w:t xml:space="preserve">. Aussi, le gouvernement n'a pas remis en question certaines institutions favorisant un partage traditionnel des tâches et a introduit une </w:t>
      </w:r>
      <w:r w:rsidR="000E79E9">
        <w:rPr>
          <w:rFonts w:ascii="Cambria" w:hAnsi="Cambria"/>
          <w:sz w:val="24"/>
          <w:szCs w:val="24"/>
        </w:rPr>
        <w:t>prime</w:t>
      </w:r>
      <w:r>
        <w:rPr>
          <w:rFonts w:ascii="Cambria" w:hAnsi="Cambria"/>
          <w:sz w:val="24"/>
          <w:szCs w:val="24"/>
        </w:rPr>
        <w:t xml:space="preserve"> de garde incitant les mères à </w:t>
      </w:r>
      <w:r w:rsidR="00685CE3">
        <w:rPr>
          <w:rFonts w:ascii="Cambria" w:hAnsi="Cambria"/>
          <w:sz w:val="24"/>
          <w:szCs w:val="24"/>
        </w:rPr>
        <w:t>prolonger leur interruption d'activité</w:t>
      </w:r>
      <w:r>
        <w:rPr>
          <w:rFonts w:ascii="Cambria" w:hAnsi="Cambria"/>
          <w:sz w:val="24"/>
          <w:szCs w:val="24"/>
        </w:rPr>
        <w:t xml:space="preserve">. En d'autres termes, les réformes sont moins radicales qu'il y paraît au premier regard. </w:t>
      </w:r>
      <w:r w:rsidR="00512720">
        <w:rPr>
          <w:rFonts w:ascii="Cambria" w:hAnsi="Cambria"/>
          <w:sz w:val="24"/>
          <w:szCs w:val="24"/>
        </w:rPr>
        <w:t>Cette situation s'explique sans doute aussi par les limites des recommandations européennes. Celles-ci sont en effet trop limitatives et mériteraient d'être complétées par d'autres indicateurs, tels que le retour à l'emploi ou la réduction du différentiel dans le taux d'emploi entre hommes et femmes (</w:t>
      </w:r>
      <w:proofErr w:type="spellStart"/>
      <w:r w:rsidR="00512720">
        <w:rPr>
          <w:rFonts w:ascii="Cambria" w:hAnsi="Cambria"/>
          <w:sz w:val="24"/>
          <w:szCs w:val="24"/>
        </w:rPr>
        <w:t>Courtioux</w:t>
      </w:r>
      <w:proofErr w:type="spellEnd"/>
      <w:r w:rsidR="00512720">
        <w:rPr>
          <w:rFonts w:ascii="Cambria" w:hAnsi="Cambria"/>
          <w:sz w:val="24"/>
          <w:szCs w:val="24"/>
        </w:rPr>
        <w:t xml:space="preserve">, </w:t>
      </w:r>
      <w:proofErr w:type="spellStart"/>
      <w:r w:rsidR="00512720">
        <w:rPr>
          <w:rFonts w:ascii="Cambria" w:hAnsi="Cambria"/>
          <w:sz w:val="24"/>
          <w:szCs w:val="24"/>
        </w:rPr>
        <w:t>Thévenon</w:t>
      </w:r>
      <w:proofErr w:type="spellEnd"/>
      <w:r w:rsidR="00512720">
        <w:rPr>
          <w:rFonts w:ascii="Cambria" w:hAnsi="Cambria"/>
          <w:sz w:val="24"/>
          <w:szCs w:val="24"/>
        </w:rPr>
        <w:t>), et ne sont pas exemptes d'ambiguïté.</w:t>
      </w:r>
    </w:p>
    <w:p w14:paraId="72DA831A" w14:textId="77777777" w:rsidR="00D507C0" w:rsidRDefault="00512720" w:rsidP="006B4C3A">
      <w:pPr>
        <w:pStyle w:val="Sansinterligne"/>
        <w:spacing w:after="120"/>
        <w:jc w:val="both"/>
        <w:rPr>
          <w:rFonts w:ascii="Cambria" w:hAnsi="Cambria"/>
          <w:sz w:val="24"/>
          <w:szCs w:val="24"/>
        </w:rPr>
      </w:pPr>
      <w:r>
        <w:rPr>
          <w:rFonts w:ascii="Cambria" w:hAnsi="Cambria"/>
          <w:sz w:val="24"/>
          <w:szCs w:val="24"/>
        </w:rPr>
        <w:t xml:space="preserve">Si les objectifs n'ont été que partiellement atteints, en Allemagne, cela s'explique aussi </w:t>
      </w:r>
      <w:r w:rsidR="00D507C0">
        <w:rPr>
          <w:rFonts w:ascii="Cambria" w:hAnsi="Cambria"/>
          <w:sz w:val="24"/>
          <w:szCs w:val="24"/>
        </w:rPr>
        <w:t>par le caractère non contraignant des positions communautaires, ce qui vaut à l'Union Européenne des critiques, d'aucun</w:t>
      </w:r>
      <w:r w:rsidR="00D21D28">
        <w:rPr>
          <w:rFonts w:ascii="Cambria" w:hAnsi="Cambria"/>
          <w:sz w:val="24"/>
          <w:szCs w:val="24"/>
        </w:rPr>
        <w:t>s</w:t>
      </w:r>
      <w:r w:rsidR="00D507C0">
        <w:rPr>
          <w:rFonts w:ascii="Cambria" w:hAnsi="Cambria"/>
          <w:sz w:val="24"/>
          <w:szCs w:val="24"/>
        </w:rPr>
        <w:t xml:space="preserve"> estimant qu'il est impératif d'inclure dans la politique communautaire un volet social (Barbier 2013). C'est très certainement la raison pour laquelle l'impact de l'UE sur les politiques familiales des Etats membres s'avère très variable, et de fait, de nombreux Etats membres n'avaient pas atteint les objectifs de la stratégie de Lisbonne en </w:t>
      </w:r>
      <w:r w:rsidR="00685CE3">
        <w:rPr>
          <w:rFonts w:ascii="Cambria" w:hAnsi="Cambria"/>
          <w:sz w:val="24"/>
          <w:szCs w:val="24"/>
        </w:rPr>
        <w:t>2010</w:t>
      </w:r>
      <w:r w:rsidR="004A4147">
        <w:rPr>
          <w:rFonts w:ascii="Cambria" w:hAnsi="Cambria"/>
          <w:sz w:val="24"/>
          <w:szCs w:val="24"/>
        </w:rPr>
        <w:t>, ce qui a amené la Commission Européenne à adopter en 2010 une nouvelle stratégie, dite « Europe 2020 », afin de redéfinir les objectifs et d'inciter les Etats-membres à accentuer leurs efforts</w:t>
      </w:r>
      <w:r w:rsidR="004A4147">
        <w:rPr>
          <w:rStyle w:val="Marquenotebasdepage"/>
          <w:rFonts w:ascii="Cambria" w:hAnsi="Cambria"/>
          <w:sz w:val="24"/>
          <w:szCs w:val="24"/>
        </w:rPr>
        <w:footnoteReference w:id="26"/>
      </w:r>
      <w:r w:rsidR="00685CE3">
        <w:rPr>
          <w:rFonts w:ascii="Cambria" w:hAnsi="Cambria"/>
          <w:sz w:val="24"/>
          <w:szCs w:val="24"/>
        </w:rPr>
        <w:t>. Car p</w:t>
      </w:r>
      <w:r w:rsidR="00D507C0">
        <w:rPr>
          <w:rFonts w:ascii="Cambria" w:hAnsi="Cambria"/>
          <w:sz w:val="24"/>
          <w:szCs w:val="24"/>
        </w:rPr>
        <w:t xml:space="preserve">eu d'autres Etats européens ont axé leur politique sur les objectifs communautaires comme l'a fait l'Allemagne. </w:t>
      </w:r>
    </w:p>
    <w:p w14:paraId="43E477B4" w14:textId="77777777" w:rsidR="00D507C0" w:rsidRDefault="00D507C0" w:rsidP="006B4C3A">
      <w:pPr>
        <w:pStyle w:val="Sansinterligne"/>
        <w:spacing w:after="120"/>
        <w:jc w:val="both"/>
        <w:rPr>
          <w:rFonts w:ascii="Cambria" w:hAnsi="Cambria"/>
          <w:sz w:val="24"/>
          <w:szCs w:val="24"/>
        </w:rPr>
      </w:pPr>
      <w:r>
        <w:rPr>
          <w:rFonts w:ascii="Cambria" w:hAnsi="Cambria"/>
          <w:sz w:val="24"/>
          <w:szCs w:val="24"/>
        </w:rPr>
        <w:t>Si l'impact de la stratégie européenne de Lisbonne a été plus fort en Allemagne qu'ailleurs, c'est avant tout parce que le pays partage les préoccupations communautaires concernant en particulier les conséquences du vieillissement démographique sur le potentiel de main d'œuvre et les systèmes sociaux (</w:t>
      </w:r>
      <w:proofErr w:type="spellStart"/>
      <w:r>
        <w:rPr>
          <w:rFonts w:ascii="Cambria" w:hAnsi="Cambria"/>
          <w:sz w:val="24"/>
          <w:szCs w:val="24"/>
        </w:rPr>
        <w:t>Fagnani</w:t>
      </w:r>
      <w:proofErr w:type="spellEnd"/>
      <w:r>
        <w:rPr>
          <w:rFonts w:ascii="Cambria" w:hAnsi="Cambria"/>
          <w:sz w:val="24"/>
          <w:szCs w:val="24"/>
        </w:rPr>
        <w:t xml:space="preserve"> 2010), ainsi que l'approche communautaire basée sur le principe de subsidiarité. </w:t>
      </w:r>
      <w:r w:rsidR="00BE6532">
        <w:rPr>
          <w:rFonts w:ascii="Cambria" w:hAnsi="Cambria"/>
          <w:sz w:val="24"/>
          <w:szCs w:val="24"/>
        </w:rPr>
        <w:t>Cela peut aussi s'expliquer par le phénomène d'influence réciproque</w:t>
      </w:r>
      <w:r w:rsidR="005337EF">
        <w:rPr>
          <w:rStyle w:val="Marquenotebasdepage"/>
          <w:rFonts w:ascii="Cambria" w:hAnsi="Cambria"/>
          <w:sz w:val="24"/>
          <w:szCs w:val="24"/>
        </w:rPr>
        <w:footnoteReference w:id="27"/>
      </w:r>
      <w:r w:rsidR="00BE6532">
        <w:rPr>
          <w:rFonts w:ascii="Cambria" w:hAnsi="Cambria"/>
          <w:sz w:val="24"/>
          <w:szCs w:val="24"/>
        </w:rPr>
        <w:t xml:space="preserve"> qu'on a pu constater dans le cas de l'Allemagne</w:t>
      </w:r>
      <w:r w:rsidR="005337EF">
        <w:rPr>
          <w:rFonts w:ascii="Cambria" w:hAnsi="Cambria"/>
          <w:sz w:val="24"/>
          <w:szCs w:val="24"/>
        </w:rPr>
        <w:t>.</w:t>
      </w:r>
      <w:r w:rsidR="00D21D28">
        <w:rPr>
          <w:rFonts w:ascii="Cambria" w:hAnsi="Cambria"/>
          <w:sz w:val="24"/>
          <w:szCs w:val="24"/>
        </w:rPr>
        <w:t xml:space="preserve"> L</w:t>
      </w:r>
      <w:r w:rsidR="00D27B56">
        <w:rPr>
          <w:rFonts w:ascii="Cambria" w:hAnsi="Cambria"/>
          <w:sz w:val="24"/>
          <w:szCs w:val="24"/>
        </w:rPr>
        <w:t>'Alliance européenne pour les familles, créée en 2007 du temps de la présidence allemande de l'UE, ressemble en effet fort à l'Alliance pour la famille qui avait été mise en place quatre ans plus tôt en Allemagne. On peut supposer que l'Allemagne suit d'autant plus volontiers les recommandations européennes qu'elle y contribue.</w:t>
      </w:r>
    </w:p>
    <w:p w14:paraId="2ED10697" w14:textId="77777777" w:rsidR="00D507C0" w:rsidRDefault="00D507C0" w:rsidP="006B4C3A">
      <w:pPr>
        <w:pStyle w:val="Sansinterligne"/>
        <w:spacing w:after="120"/>
        <w:jc w:val="both"/>
        <w:rPr>
          <w:rFonts w:ascii="Cambria" w:hAnsi="Cambria"/>
          <w:sz w:val="24"/>
          <w:szCs w:val="24"/>
        </w:rPr>
      </w:pPr>
      <w:r>
        <w:rPr>
          <w:rFonts w:ascii="Cambria" w:hAnsi="Cambria"/>
          <w:sz w:val="24"/>
          <w:szCs w:val="24"/>
        </w:rPr>
        <w:lastRenderedPageBreak/>
        <w:t>Par conséquent, l'impact de l'Union Européenne repose avant tout sur l'écho que les objectifs communautaires rencontrent dans chaque Etat, ce qui</w:t>
      </w:r>
      <w:r w:rsidR="004B15EA">
        <w:rPr>
          <w:rFonts w:ascii="Cambria" w:hAnsi="Cambria"/>
          <w:sz w:val="24"/>
          <w:szCs w:val="24"/>
        </w:rPr>
        <w:t>, en cette période de crise, devient</w:t>
      </w:r>
      <w:r>
        <w:rPr>
          <w:rFonts w:ascii="Cambria" w:hAnsi="Cambria"/>
          <w:sz w:val="24"/>
          <w:szCs w:val="24"/>
        </w:rPr>
        <w:t xml:space="preserve"> plus incertain.</w:t>
      </w:r>
    </w:p>
    <w:p w14:paraId="23F68C4C" w14:textId="77777777" w:rsidR="004B15EA" w:rsidRDefault="004B15EA" w:rsidP="006B4C3A">
      <w:pPr>
        <w:pStyle w:val="Sansinterligne"/>
        <w:spacing w:after="120"/>
        <w:jc w:val="both"/>
        <w:rPr>
          <w:rFonts w:ascii="Cambria" w:hAnsi="Cambria"/>
          <w:sz w:val="24"/>
          <w:szCs w:val="24"/>
        </w:rPr>
      </w:pPr>
      <w:r>
        <w:rPr>
          <w:rFonts w:ascii="Cambria" w:hAnsi="Cambria"/>
          <w:sz w:val="24"/>
          <w:szCs w:val="24"/>
        </w:rPr>
        <w:t xml:space="preserve">Pour finir, il est trop tôt pour parler d'une convergence dans les politiques familiales européennes. Les réformes qu'on observe néanmoins dans certains pays soulève la question se savoir si l'on n'assiste pas actuellement à l'émergence d'un noyau dur de pays, en Europe, qui </w:t>
      </w:r>
      <w:r w:rsidR="0021550A">
        <w:rPr>
          <w:rFonts w:ascii="Cambria" w:hAnsi="Cambria"/>
          <w:sz w:val="24"/>
          <w:szCs w:val="24"/>
        </w:rPr>
        <w:t>se rapprochent dans l'orientation de</w:t>
      </w:r>
      <w:r>
        <w:rPr>
          <w:rFonts w:ascii="Cambria" w:hAnsi="Cambria"/>
          <w:sz w:val="24"/>
          <w:szCs w:val="24"/>
        </w:rPr>
        <w:t xml:space="preserve"> leur</w:t>
      </w:r>
      <w:r w:rsidR="0021550A">
        <w:rPr>
          <w:rFonts w:ascii="Cambria" w:hAnsi="Cambria"/>
          <w:sz w:val="24"/>
          <w:szCs w:val="24"/>
        </w:rPr>
        <w:t>s</w:t>
      </w:r>
      <w:r>
        <w:rPr>
          <w:rFonts w:ascii="Cambria" w:hAnsi="Cambria"/>
          <w:sz w:val="24"/>
          <w:szCs w:val="24"/>
        </w:rPr>
        <w:t xml:space="preserve"> politiques familiales et contribueraient à la constitution d'une identité et d'une culture communes. </w:t>
      </w:r>
      <w:r w:rsidR="0021550A">
        <w:rPr>
          <w:rFonts w:ascii="Cambria" w:hAnsi="Cambria"/>
          <w:sz w:val="24"/>
          <w:szCs w:val="24"/>
        </w:rPr>
        <w:t xml:space="preserve">Se pose ainsi la question de savoir si </w:t>
      </w:r>
      <w:r w:rsidR="00CC3578">
        <w:rPr>
          <w:rFonts w:ascii="Cambria" w:hAnsi="Cambria"/>
          <w:sz w:val="24"/>
          <w:szCs w:val="24"/>
        </w:rPr>
        <w:t xml:space="preserve">ne se dessine pas, </w:t>
      </w:r>
      <w:r w:rsidR="0021550A">
        <w:rPr>
          <w:rFonts w:ascii="Cambria" w:hAnsi="Cambria"/>
          <w:sz w:val="24"/>
          <w:szCs w:val="24"/>
        </w:rPr>
        <w:t xml:space="preserve">en matière de politique familiale aussi, une Europe à deux vitesses. </w:t>
      </w:r>
    </w:p>
    <w:p w14:paraId="4471175A" w14:textId="77777777" w:rsidR="00D507C0" w:rsidRDefault="00D507C0" w:rsidP="006B4C3A">
      <w:pPr>
        <w:pStyle w:val="Sansinterligne"/>
        <w:spacing w:after="120"/>
        <w:jc w:val="both"/>
        <w:rPr>
          <w:rFonts w:ascii="Cambria" w:hAnsi="Cambria"/>
          <w:sz w:val="24"/>
          <w:szCs w:val="24"/>
        </w:rPr>
      </w:pPr>
      <w:r>
        <w:rPr>
          <w:rFonts w:ascii="Cambria" w:hAnsi="Cambria"/>
          <w:sz w:val="24"/>
          <w:szCs w:val="24"/>
        </w:rPr>
        <w:t xml:space="preserve"> </w:t>
      </w:r>
    </w:p>
    <w:p w14:paraId="4199A612" w14:textId="77777777" w:rsidR="00D507C0" w:rsidRDefault="00D507C0" w:rsidP="00E71F89">
      <w:pPr>
        <w:pStyle w:val="Sansinterligne"/>
        <w:spacing w:after="120"/>
        <w:jc w:val="both"/>
        <w:rPr>
          <w:rFonts w:ascii="Cambria" w:hAnsi="Cambria"/>
          <w:sz w:val="24"/>
          <w:szCs w:val="24"/>
        </w:rPr>
      </w:pPr>
    </w:p>
    <w:p w14:paraId="3E84DA3B" w14:textId="77777777" w:rsidR="00D507C0" w:rsidRPr="00617058" w:rsidRDefault="00D507C0" w:rsidP="00E71F89">
      <w:pPr>
        <w:pStyle w:val="Sansinterligne"/>
        <w:spacing w:after="120"/>
        <w:jc w:val="both"/>
        <w:rPr>
          <w:rFonts w:ascii="Cambria" w:hAnsi="Cambria"/>
          <w:b/>
          <w:sz w:val="24"/>
          <w:szCs w:val="24"/>
        </w:rPr>
      </w:pPr>
      <w:r w:rsidRPr="00617058">
        <w:rPr>
          <w:rFonts w:ascii="Cambria" w:hAnsi="Cambria"/>
          <w:b/>
          <w:sz w:val="24"/>
          <w:szCs w:val="24"/>
        </w:rPr>
        <w:t>Références</w:t>
      </w:r>
    </w:p>
    <w:p w14:paraId="09B4CD2C" w14:textId="77777777" w:rsidR="00D507C0" w:rsidRDefault="00D507C0" w:rsidP="00E71F89">
      <w:pPr>
        <w:pStyle w:val="Sansinterligne"/>
        <w:spacing w:after="120"/>
        <w:jc w:val="both"/>
        <w:rPr>
          <w:rFonts w:ascii="Cambria" w:hAnsi="Cambria"/>
          <w:sz w:val="24"/>
          <w:szCs w:val="24"/>
        </w:rPr>
      </w:pPr>
    </w:p>
    <w:p w14:paraId="782FCC40"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Barbier Jean-Claude, 2013, « "Modèle social européen" et "gouvernance" européenne », Informations sociales, 175: 26-32.</w:t>
      </w:r>
    </w:p>
    <w:p w14:paraId="5CBBA716" w14:textId="77777777" w:rsidR="00D507C0" w:rsidRPr="007A128F" w:rsidRDefault="00D507C0" w:rsidP="00E71F89">
      <w:pPr>
        <w:pStyle w:val="Sansinterligne"/>
        <w:spacing w:after="120"/>
        <w:jc w:val="both"/>
        <w:rPr>
          <w:rFonts w:ascii="Cambria" w:hAnsi="Cambria"/>
          <w:sz w:val="24"/>
          <w:szCs w:val="24"/>
        </w:rPr>
      </w:pPr>
      <w:proofErr w:type="spellStart"/>
      <w:r w:rsidRPr="007A128F">
        <w:rPr>
          <w:rFonts w:ascii="Cambria" w:hAnsi="Cambria"/>
          <w:sz w:val="24"/>
          <w:szCs w:val="24"/>
        </w:rPr>
        <w:t>Bothfeld</w:t>
      </w:r>
      <w:proofErr w:type="spellEnd"/>
      <w:r w:rsidRPr="007A128F">
        <w:rPr>
          <w:rFonts w:ascii="Cambria" w:hAnsi="Cambria"/>
          <w:sz w:val="24"/>
          <w:szCs w:val="24"/>
        </w:rPr>
        <w:t xml:space="preserve"> </w:t>
      </w:r>
      <w:proofErr w:type="spellStart"/>
      <w:r w:rsidRPr="007A128F">
        <w:rPr>
          <w:rFonts w:ascii="Cambria" w:hAnsi="Cambria"/>
          <w:sz w:val="24"/>
          <w:szCs w:val="24"/>
        </w:rPr>
        <w:t>Silke</w:t>
      </w:r>
      <w:proofErr w:type="spellEnd"/>
      <w:r w:rsidRPr="007A128F">
        <w:rPr>
          <w:rFonts w:ascii="Cambria" w:hAnsi="Cambria"/>
          <w:sz w:val="24"/>
          <w:szCs w:val="24"/>
        </w:rPr>
        <w:t xml:space="preserve">, 2009, </w:t>
      </w:r>
      <w:r>
        <w:rPr>
          <w:rFonts w:ascii="Cambria" w:hAnsi="Cambria"/>
          <w:sz w:val="24"/>
          <w:szCs w:val="24"/>
        </w:rPr>
        <w:t>« </w:t>
      </w:r>
      <w:r w:rsidRPr="007A128F">
        <w:rPr>
          <w:rFonts w:ascii="Cambria" w:hAnsi="Cambria"/>
          <w:sz w:val="24"/>
          <w:szCs w:val="24"/>
        </w:rPr>
        <w:t>L'égalité des sexes dans le champ économique en Allemagne</w:t>
      </w:r>
      <w:r>
        <w:rPr>
          <w:rFonts w:ascii="Cambria" w:hAnsi="Cambria"/>
          <w:sz w:val="24"/>
          <w:szCs w:val="24"/>
        </w:rPr>
        <w:t> »</w:t>
      </w:r>
      <w:r w:rsidRPr="007A128F">
        <w:rPr>
          <w:rFonts w:ascii="Cambria" w:hAnsi="Cambria"/>
          <w:sz w:val="24"/>
          <w:szCs w:val="24"/>
        </w:rPr>
        <w:t>, CNAF, Informations sociales, 151, p. 93-98</w:t>
      </w:r>
      <w:r>
        <w:rPr>
          <w:rFonts w:ascii="Cambria" w:hAnsi="Cambria"/>
          <w:sz w:val="24"/>
          <w:szCs w:val="24"/>
        </w:rPr>
        <w:t>.</w:t>
      </w:r>
    </w:p>
    <w:p w14:paraId="2605F04E" w14:textId="77777777" w:rsidR="00D507C0" w:rsidRPr="00933228" w:rsidRDefault="00D507C0" w:rsidP="00E71F89">
      <w:pPr>
        <w:pStyle w:val="Sansinterligne"/>
        <w:spacing w:after="120"/>
        <w:jc w:val="both"/>
        <w:rPr>
          <w:rFonts w:ascii="Cambria" w:hAnsi="Cambria"/>
          <w:sz w:val="24"/>
          <w:szCs w:val="24"/>
          <w:lang w:val="de-DE"/>
        </w:rPr>
      </w:pPr>
      <w:r w:rsidRPr="00933228">
        <w:rPr>
          <w:rFonts w:ascii="Cambria" w:hAnsi="Cambria"/>
          <w:sz w:val="24"/>
          <w:szCs w:val="24"/>
          <w:lang w:val="de-DE"/>
        </w:rPr>
        <w:t>Bundesministerium für Familien, Senior</w:t>
      </w:r>
      <w:r>
        <w:rPr>
          <w:rFonts w:ascii="Cambria" w:hAnsi="Cambria"/>
          <w:sz w:val="24"/>
          <w:szCs w:val="24"/>
          <w:lang w:val="de-DE"/>
        </w:rPr>
        <w:t xml:space="preserve">en, Frauen und Jugend (dir.), 2008, </w:t>
      </w:r>
      <w:r w:rsidRPr="00933228">
        <w:rPr>
          <w:rFonts w:ascii="Cambria" w:hAnsi="Cambria"/>
          <w:i/>
          <w:sz w:val="24"/>
          <w:szCs w:val="24"/>
          <w:lang w:val="de-DE"/>
        </w:rPr>
        <w:t>Elterngeldbericht</w:t>
      </w:r>
      <w:r w:rsidRPr="00933228">
        <w:rPr>
          <w:rFonts w:ascii="Cambria" w:hAnsi="Cambria"/>
          <w:sz w:val="24"/>
          <w:szCs w:val="24"/>
          <w:lang w:val="de-DE"/>
        </w:rPr>
        <w:t xml:space="preserve">, </w:t>
      </w:r>
      <w:hyperlink r:id="rId16" w:history="1">
        <w:r w:rsidRPr="00933228">
          <w:rPr>
            <w:rStyle w:val="Lienhypertexte"/>
            <w:rFonts w:ascii="Cambria" w:hAnsi="Cambria"/>
            <w:sz w:val="24"/>
            <w:szCs w:val="24"/>
            <w:lang w:val="de-DE"/>
          </w:rPr>
          <w:t>www.bmfsfj.de</w:t>
        </w:r>
      </w:hyperlink>
      <w:r w:rsidRPr="00933228">
        <w:rPr>
          <w:rFonts w:ascii="Cambria" w:hAnsi="Cambria"/>
          <w:sz w:val="24"/>
          <w:szCs w:val="24"/>
          <w:lang w:val="de-DE"/>
        </w:rPr>
        <w:t xml:space="preserve"> </w:t>
      </w:r>
      <w:r>
        <w:rPr>
          <w:rFonts w:ascii="Cambria" w:hAnsi="Cambria"/>
          <w:sz w:val="24"/>
          <w:szCs w:val="24"/>
          <w:lang w:val="de-DE"/>
        </w:rPr>
        <w:t xml:space="preserve">, Berlin, </w:t>
      </w:r>
      <w:proofErr w:type="spellStart"/>
      <w:r>
        <w:rPr>
          <w:rFonts w:ascii="Cambria" w:hAnsi="Cambria"/>
          <w:sz w:val="24"/>
          <w:szCs w:val="24"/>
          <w:lang w:val="de-DE"/>
        </w:rPr>
        <w:t>octobre</w:t>
      </w:r>
      <w:proofErr w:type="spellEnd"/>
      <w:r>
        <w:rPr>
          <w:rFonts w:ascii="Cambria" w:hAnsi="Cambria"/>
          <w:sz w:val="24"/>
          <w:szCs w:val="24"/>
          <w:lang w:val="de-DE"/>
        </w:rPr>
        <w:t>.</w:t>
      </w:r>
    </w:p>
    <w:p w14:paraId="4CE096BC" w14:textId="77777777" w:rsidR="00D507C0" w:rsidRPr="0047557B" w:rsidRDefault="00D507C0" w:rsidP="00E71F89">
      <w:pPr>
        <w:pStyle w:val="Sansinterligne"/>
        <w:spacing w:after="120"/>
        <w:jc w:val="both"/>
        <w:rPr>
          <w:rFonts w:ascii="Cambria" w:hAnsi="Cambria"/>
          <w:sz w:val="24"/>
          <w:szCs w:val="24"/>
          <w:lang w:val="de-DE"/>
        </w:rPr>
      </w:pPr>
      <w:r w:rsidRPr="0047557B">
        <w:rPr>
          <w:rFonts w:ascii="Cambria" w:hAnsi="Cambria"/>
          <w:sz w:val="24"/>
          <w:szCs w:val="24"/>
          <w:lang w:val="de-DE"/>
        </w:rPr>
        <w:t xml:space="preserve">Bundesministerium für Familie, Senioren, Frauen und Jugend (dir.), 2006, </w:t>
      </w:r>
      <w:r w:rsidRPr="0047557B">
        <w:rPr>
          <w:rFonts w:ascii="Cambria" w:hAnsi="Cambria"/>
          <w:i/>
          <w:sz w:val="24"/>
          <w:szCs w:val="24"/>
          <w:lang w:val="de-DE"/>
        </w:rPr>
        <w:t>Erziehung, Haushalt und Beruf: Anforderungen und Unterstützungen für Familien</w:t>
      </w:r>
      <w:r w:rsidRPr="0047557B">
        <w:rPr>
          <w:rFonts w:ascii="Cambria" w:hAnsi="Cambria"/>
          <w:sz w:val="24"/>
          <w:szCs w:val="24"/>
          <w:lang w:val="de-DE"/>
        </w:rPr>
        <w:t>, Monitor Familienforschung, 4-8.</w:t>
      </w:r>
    </w:p>
    <w:p w14:paraId="5F037F30" w14:textId="77777777" w:rsidR="00D507C0" w:rsidRPr="0079070B" w:rsidRDefault="00D507C0" w:rsidP="00E71F89">
      <w:pPr>
        <w:pStyle w:val="Sansinterligne"/>
        <w:spacing w:after="120"/>
        <w:jc w:val="both"/>
        <w:rPr>
          <w:rFonts w:ascii="Cambria" w:hAnsi="Cambria"/>
          <w:sz w:val="24"/>
          <w:szCs w:val="24"/>
          <w:lang w:val="de-DE"/>
        </w:rPr>
      </w:pPr>
      <w:r w:rsidRPr="0079070B">
        <w:rPr>
          <w:rFonts w:ascii="Cambria" w:hAnsi="Cambria"/>
          <w:sz w:val="24"/>
          <w:szCs w:val="24"/>
          <w:lang w:val="de-DE"/>
        </w:rPr>
        <w:t>Bundesministerium für Familie, Senioren, F</w:t>
      </w:r>
      <w:r>
        <w:rPr>
          <w:rFonts w:ascii="Cambria" w:hAnsi="Cambria"/>
          <w:sz w:val="24"/>
          <w:szCs w:val="24"/>
          <w:lang w:val="de-DE"/>
        </w:rPr>
        <w:t xml:space="preserve">rauen und Jugend (dir.), 2004, </w:t>
      </w:r>
      <w:r w:rsidRPr="0079070B">
        <w:rPr>
          <w:rFonts w:ascii="Cambria" w:hAnsi="Cambria"/>
          <w:i/>
          <w:sz w:val="24"/>
          <w:szCs w:val="24"/>
          <w:lang w:val="de-DE"/>
        </w:rPr>
        <w:t>A bis Z zum Tagesbetreuungsausbaugesetz</w:t>
      </w:r>
      <w:r>
        <w:rPr>
          <w:rFonts w:ascii="Cambria" w:hAnsi="Cambria"/>
          <w:sz w:val="24"/>
          <w:szCs w:val="24"/>
          <w:lang w:val="de-DE"/>
        </w:rPr>
        <w:t xml:space="preserve">, </w:t>
      </w:r>
      <w:r w:rsidRPr="0079070B">
        <w:rPr>
          <w:rFonts w:ascii="Cambria" w:hAnsi="Cambria"/>
          <w:sz w:val="24"/>
          <w:szCs w:val="24"/>
          <w:lang w:val="de-DE"/>
        </w:rPr>
        <w:t>http://www.bmfsfj.de/RedaktionBMFSFJ/Broschuerenstelle/Pdf-Anlagen/A-Z-Tagesbetreuungsausbaugesetz,property=pdf.pdf</w:t>
      </w:r>
      <w:r>
        <w:rPr>
          <w:rFonts w:ascii="Cambria" w:hAnsi="Cambria"/>
          <w:sz w:val="24"/>
          <w:szCs w:val="24"/>
          <w:lang w:val="de-DE"/>
        </w:rPr>
        <w:t>.</w:t>
      </w:r>
    </w:p>
    <w:p w14:paraId="24334CED"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Communication de la Commission sur les politiques familiales, COM (89) 363 final. Bruxelles, le 8 août 1989. Cité d'après les annexes de </w:t>
      </w:r>
      <w:r w:rsidRPr="00617058">
        <w:rPr>
          <w:rFonts w:ascii="Cambria" w:hAnsi="Cambria"/>
          <w:i/>
          <w:sz w:val="24"/>
          <w:szCs w:val="24"/>
        </w:rPr>
        <w:t>L'Union Européenne et la famille</w:t>
      </w:r>
      <w:r>
        <w:rPr>
          <w:rFonts w:ascii="Cambria" w:hAnsi="Cambria"/>
          <w:sz w:val="24"/>
          <w:szCs w:val="24"/>
        </w:rPr>
        <w:t>, Europe sociale 1: 121-127.</w:t>
      </w:r>
    </w:p>
    <w:p w14:paraId="5F1AD692" w14:textId="77777777" w:rsidR="004A4147" w:rsidRDefault="004A4147" w:rsidP="00E71F89">
      <w:pPr>
        <w:pStyle w:val="Sansinterligne"/>
        <w:spacing w:after="120"/>
        <w:jc w:val="both"/>
        <w:rPr>
          <w:rFonts w:ascii="Cambria" w:hAnsi="Cambria"/>
          <w:sz w:val="24"/>
          <w:szCs w:val="24"/>
        </w:rPr>
      </w:pPr>
      <w:proofErr w:type="spellStart"/>
      <w:r>
        <w:rPr>
          <w:rFonts w:ascii="Cambria" w:hAnsi="Cambria"/>
          <w:sz w:val="24"/>
          <w:szCs w:val="24"/>
        </w:rPr>
        <w:t>Courtioux</w:t>
      </w:r>
      <w:proofErr w:type="spellEnd"/>
      <w:r>
        <w:rPr>
          <w:rFonts w:ascii="Cambria" w:hAnsi="Cambria"/>
          <w:sz w:val="24"/>
          <w:szCs w:val="24"/>
        </w:rPr>
        <w:t xml:space="preserve"> Pierre, </w:t>
      </w:r>
      <w:proofErr w:type="spellStart"/>
      <w:r>
        <w:rPr>
          <w:rFonts w:ascii="Cambria" w:hAnsi="Cambria"/>
          <w:sz w:val="24"/>
          <w:szCs w:val="24"/>
        </w:rPr>
        <w:t>Thévenon</w:t>
      </w:r>
      <w:proofErr w:type="spellEnd"/>
      <w:r>
        <w:rPr>
          <w:rFonts w:ascii="Cambria" w:hAnsi="Cambria"/>
          <w:sz w:val="24"/>
          <w:szCs w:val="24"/>
        </w:rPr>
        <w:t xml:space="preserve"> Olivier, 2007, Les politiques familiales dans l'Union Européenne et la Stratégie de Lisbonne: quelques enseignements de l'expérience française, Horizons Stratégiques, Centre d'analyse stratégique, 4.</w:t>
      </w:r>
    </w:p>
    <w:p w14:paraId="23A67AE7"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Daly Mary, 2012, « Le rôle de l'Union Européenne ». In: Centre d'analyse stratégique (</w:t>
      </w:r>
      <w:proofErr w:type="spellStart"/>
      <w:r>
        <w:rPr>
          <w:rFonts w:ascii="Cambria" w:hAnsi="Cambria"/>
          <w:sz w:val="24"/>
          <w:szCs w:val="24"/>
        </w:rPr>
        <w:t>dir</w:t>
      </w:r>
      <w:proofErr w:type="spellEnd"/>
      <w:r>
        <w:rPr>
          <w:rFonts w:ascii="Cambria" w:hAnsi="Cambria"/>
          <w:sz w:val="24"/>
          <w:szCs w:val="24"/>
        </w:rPr>
        <w:t xml:space="preserve">.): </w:t>
      </w:r>
      <w:r w:rsidRPr="00E74132">
        <w:rPr>
          <w:rFonts w:ascii="Cambria" w:hAnsi="Cambria"/>
          <w:i/>
          <w:sz w:val="24"/>
          <w:szCs w:val="24"/>
        </w:rPr>
        <w:t>Aider les parents à être parents. Le soutien à la parentalité, une perspective internationale</w:t>
      </w:r>
      <w:r>
        <w:rPr>
          <w:rFonts w:ascii="Cambria" w:hAnsi="Cambria"/>
          <w:sz w:val="24"/>
          <w:szCs w:val="24"/>
        </w:rPr>
        <w:t>, Rapports et Documents 50: 91-97.</w:t>
      </w:r>
    </w:p>
    <w:p w14:paraId="44C5BDEB" w14:textId="77777777" w:rsidR="00D507C0" w:rsidRDefault="00D507C0" w:rsidP="00E71F89">
      <w:pPr>
        <w:pStyle w:val="Sansinterligne"/>
        <w:spacing w:after="120"/>
        <w:jc w:val="both"/>
        <w:rPr>
          <w:rFonts w:ascii="Cambria" w:hAnsi="Cambria"/>
          <w:sz w:val="24"/>
          <w:szCs w:val="24"/>
        </w:rPr>
      </w:pPr>
      <w:r>
        <w:rPr>
          <w:rFonts w:ascii="Cambria" w:hAnsi="Cambria"/>
          <w:sz w:val="24"/>
          <w:szCs w:val="24"/>
        </w:rPr>
        <w:t xml:space="preserve">Dauphin Sandrine, </w:t>
      </w:r>
      <w:proofErr w:type="spellStart"/>
      <w:r>
        <w:rPr>
          <w:rFonts w:ascii="Cambria" w:hAnsi="Cambria"/>
          <w:sz w:val="24"/>
          <w:szCs w:val="24"/>
        </w:rPr>
        <w:t>Letablier</w:t>
      </w:r>
      <w:proofErr w:type="spellEnd"/>
      <w:r>
        <w:rPr>
          <w:rFonts w:ascii="Cambria" w:hAnsi="Cambria"/>
          <w:sz w:val="24"/>
          <w:szCs w:val="24"/>
        </w:rPr>
        <w:t xml:space="preserve"> Marie-Thérèse, 2013, « L'articulation de la vie professionnelle et de la vie familiale au cœur de l'européanisation des politiques familiales », Informations sociales, CNAF, 175: 90-98.</w:t>
      </w:r>
    </w:p>
    <w:p w14:paraId="7113BD94" w14:textId="77777777" w:rsidR="00D507C0" w:rsidRDefault="00D507C0" w:rsidP="00E71F89">
      <w:pPr>
        <w:pStyle w:val="Sansinterligne"/>
        <w:spacing w:after="120"/>
        <w:jc w:val="both"/>
        <w:rPr>
          <w:rFonts w:ascii="Cambria" w:hAnsi="Cambria"/>
          <w:sz w:val="24"/>
          <w:szCs w:val="24"/>
        </w:rPr>
      </w:pPr>
      <w:proofErr w:type="spellStart"/>
      <w:r w:rsidRPr="00A240BB">
        <w:rPr>
          <w:rFonts w:ascii="Cambria" w:hAnsi="Cambria"/>
          <w:sz w:val="24"/>
          <w:szCs w:val="24"/>
        </w:rPr>
        <w:t>Fagnani</w:t>
      </w:r>
      <w:proofErr w:type="spellEnd"/>
      <w:r w:rsidRPr="00A240BB">
        <w:rPr>
          <w:rFonts w:ascii="Cambria" w:hAnsi="Cambria"/>
          <w:sz w:val="24"/>
          <w:szCs w:val="24"/>
        </w:rPr>
        <w:t xml:space="preserve"> Jeanne, 2010, </w:t>
      </w:r>
      <w:r>
        <w:rPr>
          <w:rFonts w:ascii="Cambria" w:hAnsi="Cambria"/>
          <w:sz w:val="24"/>
          <w:szCs w:val="24"/>
        </w:rPr>
        <w:t>« </w:t>
      </w:r>
      <w:r w:rsidRPr="00A240BB">
        <w:rPr>
          <w:rFonts w:ascii="Cambria" w:hAnsi="Cambria"/>
          <w:iCs/>
          <w:sz w:val="24"/>
          <w:szCs w:val="24"/>
        </w:rPr>
        <w:t>Les</w:t>
      </w:r>
      <w:r w:rsidRPr="00A240BB">
        <w:rPr>
          <w:rFonts w:ascii="Cambria" w:hAnsi="Cambria"/>
          <w:i/>
          <w:iCs/>
          <w:sz w:val="24"/>
          <w:szCs w:val="24"/>
        </w:rPr>
        <w:t xml:space="preserve"> </w:t>
      </w:r>
      <w:r w:rsidRPr="00A240BB">
        <w:rPr>
          <w:rFonts w:ascii="Cambria" w:hAnsi="Cambria"/>
          <w:iCs/>
          <w:sz w:val="24"/>
          <w:szCs w:val="24"/>
        </w:rPr>
        <w:t>réformes de la politique familiale en Allemagne : l’enjeu démographique</w:t>
      </w:r>
      <w:r>
        <w:rPr>
          <w:rFonts w:ascii="Cambria" w:hAnsi="Cambria"/>
          <w:sz w:val="24"/>
          <w:szCs w:val="24"/>
        </w:rPr>
        <w:t> »</w:t>
      </w:r>
      <w:r w:rsidRPr="00A240BB">
        <w:rPr>
          <w:rFonts w:ascii="Cambria" w:hAnsi="Cambria"/>
          <w:sz w:val="24"/>
          <w:szCs w:val="24"/>
        </w:rPr>
        <w:t xml:space="preserve">. In: Clouet L. M., Stark H., </w:t>
      </w:r>
      <w:r w:rsidRPr="00A240BB">
        <w:rPr>
          <w:rFonts w:ascii="Cambria" w:hAnsi="Cambria"/>
          <w:i/>
          <w:sz w:val="24"/>
          <w:szCs w:val="24"/>
        </w:rPr>
        <w:t>Radioscopies de l'Allemagne 2010</w:t>
      </w:r>
      <w:r w:rsidRPr="00A240BB">
        <w:rPr>
          <w:rFonts w:ascii="Cambria" w:hAnsi="Cambria"/>
          <w:sz w:val="24"/>
          <w:szCs w:val="24"/>
        </w:rPr>
        <w:t>, Paris, Éditions de l’Institut français des relations internationales, 249-266.</w:t>
      </w:r>
    </w:p>
    <w:p w14:paraId="1D5CD579" w14:textId="77777777" w:rsidR="00A74BCE" w:rsidRDefault="00A74BCE" w:rsidP="00E71F89">
      <w:pPr>
        <w:pStyle w:val="Sansinterligne"/>
        <w:spacing w:after="120"/>
        <w:jc w:val="both"/>
        <w:rPr>
          <w:rFonts w:ascii="Cambria" w:hAnsi="Cambria"/>
          <w:sz w:val="24"/>
          <w:szCs w:val="24"/>
        </w:rPr>
      </w:pPr>
      <w:r>
        <w:rPr>
          <w:rFonts w:ascii="Cambria" w:hAnsi="Cambria"/>
          <w:sz w:val="24"/>
          <w:szCs w:val="24"/>
        </w:rPr>
        <w:lastRenderedPageBreak/>
        <w:t xml:space="preserve">Favier Yann, 2006, « L'impact du droit européen sur le droit des prestations familiales », </w:t>
      </w:r>
      <w:r w:rsidRPr="005A5BA6">
        <w:rPr>
          <w:rFonts w:asciiTheme="majorHAnsi" w:hAnsiTheme="majorHAnsi"/>
          <w:sz w:val="24"/>
          <w:szCs w:val="24"/>
        </w:rPr>
        <w:t>Informations sociales, CNAF 129:</w:t>
      </w:r>
      <w:r>
        <w:rPr>
          <w:rFonts w:asciiTheme="majorHAnsi" w:hAnsiTheme="majorHAnsi"/>
          <w:sz w:val="24"/>
          <w:szCs w:val="24"/>
        </w:rPr>
        <w:t xml:space="preserve"> 120-129.</w:t>
      </w:r>
    </w:p>
    <w:p w14:paraId="0D763C6E" w14:textId="77777777" w:rsidR="005A5BA6" w:rsidRPr="005A5BA6" w:rsidRDefault="005A5BA6" w:rsidP="00E71F89">
      <w:pPr>
        <w:pStyle w:val="Sansinterligne"/>
        <w:spacing w:after="120"/>
        <w:jc w:val="both"/>
        <w:rPr>
          <w:rFonts w:ascii="Cambria" w:hAnsi="Cambria"/>
          <w:sz w:val="24"/>
          <w:szCs w:val="24"/>
        </w:rPr>
      </w:pPr>
      <w:proofErr w:type="spellStart"/>
      <w:r w:rsidRPr="005A5BA6">
        <w:rPr>
          <w:rFonts w:asciiTheme="majorHAnsi" w:hAnsiTheme="majorHAnsi"/>
          <w:sz w:val="24"/>
          <w:szCs w:val="24"/>
        </w:rPr>
        <w:t>Gouttenoire</w:t>
      </w:r>
      <w:proofErr w:type="spellEnd"/>
      <w:r w:rsidRPr="005A5BA6">
        <w:rPr>
          <w:rFonts w:asciiTheme="majorHAnsi" w:hAnsiTheme="majorHAnsi"/>
          <w:sz w:val="24"/>
          <w:szCs w:val="24"/>
        </w:rPr>
        <w:t xml:space="preserve"> Adeline, 2006, </w:t>
      </w:r>
      <w:r w:rsidR="00A74BCE">
        <w:rPr>
          <w:rFonts w:asciiTheme="majorHAnsi" w:hAnsiTheme="majorHAnsi"/>
          <w:sz w:val="24"/>
          <w:szCs w:val="24"/>
        </w:rPr>
        <w:t>« </w:t>
      </w:r>
      <w:r w:rsidRPr="005A5BA6">
        <w:rPr>
          <w:rFonts w:asciiTheme="majorHAnsi" w:hAnsiTheme="majorHAnsi"/>
          <w:sz w:val="24"/>
          <w:szCs w:val="24"/>
        </w:rPr>
        <w:t>La double protection de la famille en Europe</w:t>
      </w:r>
      <w:r w:rsidR="00A74BCE">
        <w:rPr>
          <w:rFonts w:asciiTheme="majorHAnsi" w:hAnsiTheme="majorHAnsi"/>
          <w:sz w:val="24"/>
          <w:szCs w:val="24"/>
        </w:rPr>
        <w:t> »</w:t>
      </w:r>
      <w:r w:rsidRPr="005A5BA6">
        <w:rPr>
          <w:rFonts w:asciiTheme="majorHAnsi" w:hAnsiTheme="majorHAnsi"/>
          <w:sz w:val="24"/>
          <w:szCs w:val="24"/>
        </w:rPr>
        <w:t>, Informations sociales, CNAF 129: 3</w:t>
      </w:r>
      <w:r w:rsidR="00201E8D">
        <w:rPr>
          <w:rFonts w:asciiTheme="majorHAnsi" w:hAnsiTheme="majorHAnsi"/>
          <w:sz w:val="24"/>
          <w:szCs w:val="24"/>
        </w:rPr>
        <w:t>4-42.</w:t>
      </w:r>
    </w:p>
    <w:p w14:paraId="0BF907A7" w14:textId="77777777" w:rsidR="005337EF" w:rsidRPr="002A4872" w:rsidRDefault="005337EF" w:rsidP="00E71F89">
      <w:pPr>
        <w:pStyle w:val="Sansinterligne"/>
        <w:spacing w:after="120"/>
        <w:jc w:val="both"/>
        <w:rPr>
          <w:rFonts w:ascii="Cambria" w:hAnsi="Cambria"/>
          <w:sz w:val="24"/>
          <w:szCs w:val="24"/>
          <w:lang w:val="de-DE"/>
        </w:rPr>
      </w:pPr>
      <w:r>
        <w:rPr>
          <w:rFonts w:ascii="Cambria" w:hAnsi="Cambria"/>
          <w:sz w:val="24"/>
          <w:szCs w:val="24"/>
        </w:rPr>
        <w:t xml:space="preserve">Hamel Marie-Pierre, 2013, « Inclusion sociale et gouvernance européenne: quels sont les effets de la méthode ouverte de coordination? » </w:t>
      </w:r>
      <w:proofErr w:type="spellStart"/>
      <w:r w:rsidRPr="002A4872">
        <w:rPr>
          <w:rFonts w:ascii="Cambria" w:hAnsi="Cambria"/>
          <w:sz w:val="24"/>
          <w:szCs w:val="24"/>
          <w:lang w:val="de-DE"/>
        </w:rPr>
        <w:t>Informations</w:t>
      </w:r>
      <w:proofErr w:type="spellEnd"/>
      <w:r w:rsidRPr="002A4872">
        <w:rPr>
          <w:rFonts w:ascii="Cambria" w:hAnsi="Cambria"/>
          <w:sz w:val="24"/>
          <w:szCs w:val="24"/>
          <w:lang w:val="de-DE"/>
        </w:rPr>
        <w:t xml:space="preserve"> </w:t>
      </w:r>
      <w:proofErr w:type="spellStart"/>
      <w:r w:rsidRPr="002A4872">
        <w:rPr>
          <w:rFonts w:ascii="Cambria" w:hAnsi="Cambria"/>
          <w:sz w:val="24"/>
          <w:szCs w:val="24"/>
          <w:lang w:val="de-DE"/>
        </w:rPr>
        <w:t>sociales</w:t>
      </w:r>
      <w:proofErr w:type="spellEnd"/>
      <w:r w:rsidRPr="002A4872">
        <w:rPr>
          <w:rFonts w:ascii="Cambria" w:hAnsi="Cambria"/>
          <w:sz w:val="24"/>
          <w:szCs w:val="24"/>
          <w:lang w:val="de-DE"/>
        </w:rPr>
        <w:t>, CNAF, 175: 34-41.</w:t>
      </w:r>
    </w:p>
    <w:p w14:paraId="6BA75447" w14:textId="77777777" w:rsidR="00D507C0" w:rsidRPr="003A47BA" w:rsidRDefault="00D507C0" w:rsidP="00E71F89">
      <w:pPr>
        <w:pStyle w:val="Sansinterligne"/>
        <w:spacing w:after="120"/>
        <w:jc w:val="both"/>
        <w:rPr>
          <w:rFonts w:ascii="Cambria" w:hAnsi="Cambria"/>
          <w:sz w:val="24"/>
          <w:szCs w:val="24"/>
          <w:lang w:val="de-DE"/>
        </w:rPr>
      </w:pPr>
      <w:r w:rsidRPr="003A47BA">
        <w:rPr>
          <w:rFonts w:ascii="Cambria" w:hAnsi="Cambria"/>
          <w:sz w:val="24"/>
          <w:szCs w:val="24"/>
          <w:lang w:val="de-DE"/>
        </w:rPr>
        <w:t>« Kinderbetreuung in Deutschland</w:t>
      </w:r>
      <w:r w:rsidRPr="00D17537">
        <w:rPr>
          <w:rFonts w:ascii="Cambria" w:hAnsi="Cambria"/>
          <w:sz w:val="24"/>
          <w:szCs w:val="24"/>
          <w:lang w:val="de-DE"/>
        </w:rPr>
        <w:t> »</w:t>
      </w:r>
      <w:r w:rsidRPr="003A47BA">
        <w:rPr>
          <w:rFonts w:ascii="Cambria" w:hAnsi="Cambria"/>
          <w:sz w:val="24"/>
          <w:szCs w:val="24"/>
          <w:lang w:val="de-DE"/>
        </w:rPr>
        <w:t xml:space="preserve">, </w:t>
      </w:r>
      <w:r>
        <w:rPr>
          <w:rFonts w:ascii="Cambria" w:hAnsi="Cambria"/>
          <w:sz w:val="24"/>
          <w:szCs w:val="24"/>
          <w:lang w:val="de-DE"/>
        </w:rPr>
        <w:t xml:space="preserve">2003, </w:t>
      </w:r>
      <w:r w:rsidRPr="003A47BA">
        <w:rPr>
          <w:rFonts w:ascii="Cambria" w:hAnsi="Cambria"/>
          <w:sz w:val="24"/>
          <w:szCs w:val="24"/>
          <w:lang w:val="de-DE"/>
        </w:rPr>
        <w:t>Aus P</w:t>
      </w:r>
      <w:r>
        <w:rPr>
          <w:rFonts w:ascii="Cambria" w:hAnsi="Cambria"/>
          <w:sz w:val="24"/>
          <w:szCs w:val="24"/>
          <w:lang w:val="de-DE"/>
        </w:rPr>
        <w:t>olitik und Zeitgeschichte, Beilage zur Wochenzeitung das Parlament, B44: 22.</w:t>
      </w:r>
    </w:p>
    <w:p w14:paraId="0D5913FE" w14:textId="77777777" w:rsidR="00D507C0" w:rsidRDefault="00D507C0" w:rsidP="00E71F89">
      <w:pPr>
        <w:pStyle w:val="Sansinterligne"/>
        <w:spacing w:after="120"/>
        <w:jc w:val="both"/>
        <w:rPr>
          <w:rFonts w:ascii="Cambria" w:hAnsi="Cambria"/>
          <w:sz w:val="24"/>
          <w:szCs w:val="24"/>
          <w:lang w:val="de-DE"/>
        </w:rPr>
      </w:pPr>
      <w:proofErr w:type="spellStart"/>
      <w:r w:rsidRPr="00B74159">
        <w:rPr>
          <w:rFonts w:ascii="Cambria" w:hAnsi="Cambria"/>
          <w:sz w:val="24"/>
          <w:szCs w:val="24"/>
          <w:lang w:val="de-DE"/>
        </w:rPr>
        <w:t>Kolvenbach</w:t>
      </w:r>
      <w:proofErr w:type="spellEnd"/>
      <w:r>
        <w:rPr>
          <w:rFonts w:ascii="Cambria" w:hAnsi="Cambria"/>
          <w:sz w:val="24"/>
          <w:szCs w:val="24"/>
          <w:lang w:val="de-DE"/>
        </w:rPr>
        <w:t xml:space="preserve"> Franz-Josef</w:t>
      </w:r>
      <w:r w:rsidRPr="00B74159">
        <w:rPr>
          <w:rFonts w:ascii="Cambria" w:hAnsi="Cambria"/>
          <w:sz w:val="24"/>
          <w:szCs w:val="24"/>
          <w:lang w:val="de-DE"/>
        </w:rPr>
        <w:t xml:space="preserve">, </w:t>
      </w:r>
      <w:proofErr w:type="spellStart"/>
      <w:r w:rsidRPr="00B74159">
        <w:rPr>
          <w:rFonts w:ascii="Cambria" w:hAnsi="Cambria"/>
          <w:sz w:val="24"/>
          <w:szCs w:val="24"/>
          <w:lang w:val="de-DE"/>
        </w:rPr>
        <w:t>Taubmann</w:t>
      </w:r>
      <w:proofErr w:type="spellEnd"/>
      <w:r w:rsidRPr="00B74159">
        <w:rPr>
          <w:rFonts w:ascii="Cambria" w:hAnsi="Cambria"/>
          <w:sz w:val="24"/>
          <w:szCs w:val="24"/>
          <w:lang w:val="de-DE"/>
        </w:rPr>
        <w:t xml:space="preserve"> Doreen, </w:t>
      </w:r>
      <w:r>
        <w:rPr>
          <w:rFonts w:ascii="Cambria" w:hAnsi="Cambria"/>
          <w:sz w:val="24"/>
          <w:szCs w:val="24"/>
          <w:lang w:val="de-DE"/>
        </w:rPr>
        <w:t xml:space="preserve">2006, </w:t>
      </w:r>
      <w:r w:rsidRPr="00B74159">
        <w:rPr>
          <w:rFonts w:ascii="Cambria" w:hAnsi="Cambria"/>
          <w:sz w:val="24"/>
          <w:szCs w:val="24"/>
          <w:lang w:val="de-DE"/>
        </w:rPr>
        <w:t>« </w:t>
      </w:r>
      <w:r>
        <w:rPr>
          <w:rFonts w:ascii="Cambria" w:hAnsi="Cambria"/>
          <w:sz w:val="24"/>
          <w:szCs w:val="24"/>
          <w:lang w:val="de-DE"/>
        </w:rPr>
        <w:t>Neue Statistiken zur Kinderbetreuung</w:t>
      </w:r>
      <w:r w:rsidRPr="002F4E5C">
        <w:rPr>
          <w:rFonts w:ascii="Cambria" w:hAnsi="Cambria"/>
          <w:sz w:val="24"/>
          <w:szCs w:val="24"/>
          <w:lang w:val="de-DE"/>
        </w:rPr>
        <w:t> »</w:t>
      </w:r>
      <w:r>
        <w:rPr>
          <w:rFonts w:ascii="Cambria" w:hAnsi="Cambria"/>
          <w:sz w:val="24"/>
          <w:szCs w:val="24"/>
          <w:lang w:val="de-DE"/>
        </w:rPr>
        <w:t xml:space="preserve">, </w:t>
      </w:r>
      <w:r w:rsidRPr="00B74159">
        <w:rPr>
          <w:rFonts w:ascii="Cambria" w:hAnsi="Cambria"/>
          <w:sz w:val="24"/>
          <w:szCs w:val="24"/>
          <w:lang w:val="de-DE"/>
        </w:rPr>
        <w:t>Wirtschaft und S</w:t>
      </w:r>
      <w:r>
        <w:rPr>
          <w:rFonts w:ascii="Cambria" w:hAnsi="Cambria"/>
          <w:sz w:val="24"/>
          <w:szCs w:val="24"/>
          <w:lang w:val="de-DE"/>
        </w:rPr>
        <w:t>tatistik, 2: 166-171.</w:t>
      </w:r>
    </w:p>
    <w:p w14:paraId="2D60B5D7" w14:textId="77777777" w:rsidR="00D507C0" w:rsidRDefault="00D507C0" w:rsidP="00E71F89">
      <w:pPr>
        <w:pStyle w:val="Sansinterligne"/>
        <w:spacing w:after="120"/>
        <w:jc w:val="both"/>
        <w:rPr>
          <w:rFonts w:ascii="Cambria" w:hAnsi="Cambria"/>
          <w:sz w:val="24"/>
          <w:szCs w:val="24"/>
        </w:rPr>
      </w:pPr>
      <w:proofErr w:type="spellStart"/>
      <w:r w:rsidRPr="00AF2D63">
        <w:rPr>
          <w:rFonts w:ascii="Cambria" w:hAnsi="Cambria"/>
          <w:sz w:val="24"/>
          <w:szCs w:val="24"/>
        </w:rPr>
        <w:t>Letablier</w:t>
      </w:r>
      <w:proofErr w:type="spellEnd"/>
      <w:r w:rsidRPr="00AF2D63">
        <w:rPr>
          <w:rFonts w:ascii="Cambria" w:hAnsi="Cambria"/>
          <w:sz w:val="24"/>
          <w:szCs w:val="24"/>
        </w:rPr>
        <w:t xml:space="preserve"> Marie-Thérèse, 2007, </w:t>
      </w:r>
      <w:r>
        <w:rPr>
          <w:rFonts w:ascii="Cambria" w:hAnsi="Cambria"/>
          <w:sz w:val="24"/>
          <w:szCs w:val="24"/>
        </w:rPr>
        <w:t>« </w:t>
      </w:r>
      <w:r w:rsidRPr="00AF2D63">
        <w:rPr>
          <w:rFonts w:ascii="Cambria" w:hAnsi="Cambria"/>
          <w:sz w:val="24"/>
          <w:szCs w:val="24"/>
        </w:rPr>
        <w:t>Comment l</w:t>
      </w:r>
      <w:r>
        <w:rPr>
          <w:rFonts w:ascii="Cambria" w:hAnsi="Cambria"/>
          <w:sz w:val="24"/>
          <w:szCs w:val="24"/>
        </w:rPr>
        <w:t>'Europe agit-elle sur la question des acteurs? », Informations sociales, 139: 128-139.</w:t>
      </w:r>
    </w:p>
    <w:p w14:paraId="722CC647" w14:textId="77777777" w:rsidR="00D507C0" w:rsidRDefault="00D507C0" w:rsidP="007F7AE7">
      <w:pPr>
        <w:pStyle w:val="Sansinterligne"/>
        <w:spacing w:after="120"/>
        <w:jc w:val="both"/>
        <w:rPr>
          <w:rFonts w:ascii="Cambria" w:hAnsi="Cambria"/>
          <w:sz w:val="24"/>
          <w:szCs w:val="24"/>
        </w:rPr>
      </w:pPr>
      <w:proofErr w:type="spellStart"/>
      <w:r w:rsidRPr="007F7AE7">
        <w:rPr>
          <w:rFonts w:ascii="Cambria" w:hAnsi="Cambria"/>
          <w:sz w:val="24"/>
          <w:szCs w:val="24"/>
        </w:rPr>
        <w:t>Lestrade</w:t>
      </w:r>
      <w:proofErr w:type="spellEnd"/>
      <w:r w:rsidRPr="007F7AE7">
        <w:rPr>
          <w:rFonts w:ascii="Cambria" w:hAnsi="Cambria"/>
          <w:sz w:val="24"/>
          <w:szCs w:val="24"/>
        </w:rPr>
        <w:t xml:space="preserve"> Brigitte, 2009, « Le modèle social allemand en sursis ? </w:t>
      </w:r>
      <w:proofErr w:type="gramStart"/>
      <w:r w:rsidRPr="007F7AE7">
        <w:rPr>
          <w:rFonts w:ascii="Cambria" w:hAnsi="Cambria"/>
          <w:sz w:val="24"/>
          <w:szCs w:val="24"/>
        </w:rPr>
        <w:t>» ,</w:t>
      </w:r>
      <w:proofErr w:type="gramEnd"/>
      <w:r w:rsidRPr="007F7AE7">
        <w:rPr>
          <w:rFonts w:ascii="Cambria" w:hAnsi="Cambria"/>
          <w:sz w:val="24"/>
          <w:szCs w:val="24"/>
        </w:rPr>
        <w:t xml:space="preserve"> in: Revue internationale et stratégique, 2: 156-171.</w:t>
      </w:r>
    </w:p>
    <w:p w14:paraId="3ABF9571" w14:textId="77777777" w:rsidR="00BA0C4A" w:rsidRPr="00BA0C4A" w:rsidRDefault="00BA0C4A" w:rsidP="007F7AE7">
      <w:pPr>
        <w:pStyle w:val="Sansinterligne"/>
        <w:spacing w:after="120"/>
        <w:jc w:val="both"/>
        <w:rPr>
          <w:rFonts w:ascii="Cambria" w:hAnsi="Cambria"/>
          <w:sz w:val="24"/>
          <w:szCs w:val="24"/>
        </w:rPr>
      </w:pPr>
      <w:r w:rsidRPr="00BA0C4A">
        <w:rPr>
          <w:rFonts w:ascii="Cambria" w:hAnsi="Cambria"/>
          <w:sz w:val="24"/>
          <w:szCs w:val="24"/>
          <w:lang w:val="de-DE"/>
        </w:rPr>
        <w:t xml:space="preserve">Minijobzentrale (dir.), 2013, </w:t>
      </w:r>
      <w:r w:rsidRPr="00BA0C4A">
        <w:rPr>
          <w:rFonts w:ascii="Cambria" w:hAnsi="Cambria"/>
          <w:i/>
          <w:sz w:val="24"/>
          <w:szCs w:val="24"/>
          <w:lang w:val="de-DE"/>
        </w:rPr>
        <w:t>Aktuelle Entwicklungen im Bereich der geringfügigen Beschäftigung</w:t>
      </w:r>
      <w:r>
        <w:rPr>
          <w:rFonts w:ascii="Cambria" w:hAnsi="Cambria"/>
          <w:sz w:val="24"/>
          <w:szCs w:val="24"/>
          <w:lang w:val="de-DE"/>
        </w:rPr>
        <w:t xml:space="preserve">, IV. </w:t>
      </w:r>
      <w:proofErr w:type="spellStart"/>
      <w:r w:rsidRPr="00BA0C4A">
        <w:rPr>
          <w:rFonts w:ascii="Cambria" w:hAnsi="Cambria"/>
          <w:sz w:val="24"/>
          <w:szCs w:val="24"/>
        </w:rPr>
        <w:t>Quartal</w:t>
      </w:r>
      <w:proofErr w:type="spellEnd"/>
      <w:r w:rsidRPr="00BA0C4A">
        <w:rPr>
          <w:rFonts w:ascii="Cambria" w:hAnsi="Cambria"/>
          <w:sz w:val="24"/>
          <w:szCs w:val="24"/>
        </w:rPr>
        <w:t xml:space="preserve"> 2012, www.minijob-zentrale.</w:t>
      </w:r>
      <w:r>
        <w:rPr>
          <w:rFonts w:ascii="Cambria" w:hAnsi="Cambria"/>
          <w:sz w:val="24"/>
          <w:szCs w:val="24"/>
        </w:rPr>
        <w:t>de.</w:t>
      </w:r>
      <w:r w:rsidRPr="00BA0C4A">
        <w:rPr>
          <w:rFonts w:ascii="Cambria" w:hAnsi="Cambria"/>
          <w:sz w:val="24"/>
          <w:szCs w:val="24"/>
        </w:rPr>
        <w:t xml:space="preserve"> </w:t>
      </w:r>
    </w:p>
    <w:p w14:paraId="62D4EF6F" w14:textId="7AB02FBF" w:rsidR="00D507C0" w:rsidRDefault="00D507C0" w:rsidP="007F7AE7">
      <w:pPr>
        <w:pStyle w:val="Sansinterligne"/>
        <w:spacing w:after="120"/>
        <w:jc w:val="both"/>
        <w:rPr>
          <w:rFonts w:ascii="Cambria" w:hAnsi="Cambria"/>
          <w:sz w:val="24"/>
          <w:szCs w:val="24"/>
        </w:rPr>
      </w:pPr>
      <w:r w:rsidRPr="00A90C4E">
        <w:rPr>
          <w:rFonts w:ascii="Cambria" w:hAnsi="Cambria"/>
          <w:sz w:val="24"/>
          <w:szCs w:val="24"/>
        </w:rPr>
        <w:t xml:space="preserve">Salles Anne, </w:t>
      </w:r>
      <w:proofErr w:type="spellStart"/>
      <w:r w:rsidRPr="00A90C4E">
        <w:rPr>
          <w:rFonts w:ascii="Cambria" w:hAnsi="Cambria"/>
          <w:sz w:val="24"/>
          <w:szCs w:val="24"/>
        </w:rPr>
        <w:t>Letablier</w:t>
      </w:r>
      <w:proofErr w:type="spellEnd"/>
      <w:r w:rsidRPr="00A90C4E">
        <w:rPr>
          <w:rFonts w:ascii="Cambria" w:hAnsi="Cambria"/>
          <w:sz w:val="24"/>
          <w:szCs w:val="24"/>
        </w:rPr>
        <w:t xml:space="preserve"> Marie-Thérèse, 2013, </w:t>
      </w:r>
      <w:r w:rsidR="00D21D28" w:rsidRPr="00A90C4E">
        <w:rPr>
          <w:rFonts w:ascii="Cambria" w:hAnsi="Cambria"/>
          <w:sz w:val="24"/>
          <w:szCs w:val="24"/>
        </w:rPr>
        <w:t>« </w:t>
      </w:r>
      <w:r w:rsidR="00D21D28" w:rsidRPr="00A90C4E">
        <w:rPr>
          <w:rFonts w:asciiTheme="majorHAnsi" w:hAnsiTheme="majorHAnsi"/>
          <w:sz w:val="24"/>
          <w:szCs w:val="24"/>
        </w:rPr>
        <w:t>La raison démographique dans les réformes de politiques familiales en France et en Allemagne</w:t>
      </w:r>
      <w:r w:rsidR="00D21D28" w:rsidRPr="00A90C4E">
        <w:rPr>
          <w:rFonts w:ascii="Cambria" w:hAnsi="Cambria"/>
          <w:sz w:val="24"/>
          <w:szCs w:val="24"/>
        </w:rPr>
        <w:t xml:space="preserve"> », </w:t>
      </w:r>
      <w:r w:rsidRPr="00A90C4E">
        <w:rPr>
          <w:rFonts w:ascii="Cambria" w:hAnsi="Cambria"/>
          <w:sz w:val="24"/>
          <w:szCs w:val="24"/>
        </w:rPr>
        <w:t>Politiq</w:t>
      </w:r>
      <w:r w:rsidR="00461D91">
        <w:rPr>
          <w:rFonts w:ascii="Cambria" w:hAnsi="Cambria"/>
          <w:sz w:val="24"/>
          <w:szCs w:val="24"/>
        </w:rPr>
        <w:t xml:space="preserve">ues sociales et familiales, </w:t>
      </w:r>
      <w:r w:rsidR="00461D91" w:rsidRPr="00461D91">
        <w:rPr>
          <w:rFonts w:ascii="Cambria" w:hAnsi="Cambria"/>
          <w:sz w:val="24"/>
          <w:szCs w:val="24"/>
        </w:rPr>
        <w:t>CNAF</w:t>
      </w:r>
      <w:r w:rsidRPr="00461D91">
        <w:rPr>
          <w:rFonts w:ascii="Cambria" w:hAnsi="Cambria"/>
          <w:sz w:val="24"/>
          <w:szCs w:val="24"/>
        </w:rPr>
        <w:t>.</w:t>
      </w:r>
    </w:p>
    <w:p w14:paraId="1DF257EF" w14:textId="77777777" w:rsidR="00D507C0" w:rsidRPr="00C2012A" w:rsidRDefault="00D507C0" w:rsidP="007F7AE7">
      <w:pPr>
        <w:pStyle w:val="Sansinterligne"/>
        <w:spacing w:after="120"/>
        <w:jc w:val="both"/>
        <w:rPr>
          <w:rFonts w:ascii="Cambria" w:hAnsi="Cambria"/>
          <w:sz w:val="24"/>
          <w:szCs w:val="24"/>
          <w:lang w:val="de-DE"/>
        </w:rPr>
      </w:pPr>
      <w:r w:rsidRPr="00757389">
        <w:rPr>
          <w:rFonts w:ascii="Cambria" w:hAnsi="Cambria"/>
          <w:sz w:val="24"/>
          <w:szCs w:val="24"/>
        </w:rPr>
        <w:t>Salles Anne, 2011, « </w:t>
      </w:r>
      <w:r w:rsidRPr="00757389">
        <w:rPr>
          <w:rFonts w:ascii="Cambria" w:hAnsi="Cambria"/>
          <w:iCs/>
          <w:sz w:val="24"/>
          <w:szCs w:val="24"/>
        </w:rPr>
        <w:t>Pourquoi réformer le congé parental en Allemagne ? ».</w:t>
      </w:r>
      <w:r w:rsidRPr="00757389">
        <w:rPr>
          <w:rFonts w:ascii="Cambria" w:hAnsi="Cambria"/>
          <w:sz w:val="24"/>
          <w:szCs w:val="24"/>
        </w:rPr>
        <w:t xml:space="preserve"> I</w:t>
      </w:r>
      <w:r w:rsidRPr="00757389">
        <w:rPr>
          <w:rFonts w:ascii="Cambria" w:hAnsi="Cambria"/>
          <w:iCs/>
          <w:sz w:val="24"/>
          <w:szCs w:val="24"/>
        </w:rPr>
        <w:t>n</w:t>
      </w:r>
      <w:r w:rsidRPr="00757389">
        <w:rPr>
          <w:rFonts w:ascii="Cambria" w:hAnsi="Cambria"/>
          <w:sz w:val="24"/>
          <w:szCs w:val="24"/>
        </w:rPr>
        <w:t xml:space="preserve"> </w:t>
      </w:r>
      <w:proofErr w:type="spellStart"/>
      <w:r w:rsidRPr="00757389">
        <w:rPr>
          <w:rFonts w:ascii="Cambria" w:hAnsi="Cambria"/>
          <w:sz w:val="24"/>
          <w:szCs w:val="24"/>
        </w:rPr>
        <w:t>Gouazé</w:t>
      </w:r>
      <w:proofErr w:type="spellEnd"/>
      <w:r w:rsidRPr="00757389">
        <w:rPr>
          <w:rFonts w:ascii="Cambria" w:hAnsi="Cambria"/>
          <w:sz w:val="24"/>
          <w:szCs w:val="24"/>
        </w:rPr>
        <w:t xml:space="preserve"> S., Salles A., Prat-</w:t>
      </w:r>
      <w:proofErr w:type="spellStart"/>
      <w:r w:rsidRPr="00757389">
        <w:rPr>
          <w:rFonts w:ascii="Cambria" w:hAnsi="Cambria"/>
          <w:sz w:val="24"/>
          <w:szCs w:val="24"/>
        </w:rPr>
        <w:t>Erkert</w:t>
      </w:r>
      <w:proofErr w:type="spellEnd"/>
      <w:r w:rsidRPr="00757389">
        <w:rPr>
          <w:rFonts w:ascii="Cambria" w:hAnsi="Cambria"/>
          <w:sz w:val="24"/>
          <w:szCs w:val="24"/>
        </w:rPr>
        <w:t xml:space="preserve"> C. (</w:t>
      </w:r>
      <w:proofErr w:type="spellStart"/>
      <w:r w:rsidRPr="00757389">
        <w:rPr>
          <w:rFonts w:ascii="Cambria" w:hAnsi="Cambria"/>
          <w:sz w:val="24"/>
          <w:szCs w:val="24"/>
        </w:rPr>
        <w:t>dir</w:t>
      </w:r>
      <w:proofErr w:type="spellEnd"/>
      <w:r w:rsidRPr="00757389">
        <w:rPr>
          <w:rFonts w:ascii="Cambria" w:hAnsi="Cambria"/>
          <w:sz w:val="24"/>
          <w:szCs w:val="24"/>
        </w:rPr>
        <w:t xml:space="preserve">.), </w:t>
      </w:r>
      <w:r w:rsidRPr="00757389">
        <w:rPr>
          <w:rFonts w:ascii="Cambria" w:hAnsi="Cambria"/>
          <w:bCs/>
          <w:i/>
          <w:sz w:val="24"/>
          <w:szCs w:val="24"/>
        </w:rPr>
        <w:t xml:space="preserve">Les enjeux démographiques en France et en Allemagne. </w:t>
      </w:r>
      <w:proofErr w:type="spellStart"/>
      <w:r w:rsidRPr="00C2012A">
        <w:rPr>
          <w:rFonts w:ascii="Cambria" w:hAnsi="Cambria"/>
          <w:bCs/>
          <w:i/>
          <w:sz w:val="24"/>
          <w:szCs w:val="24"/>
          <w:lang w:val="de-DE"/>
        </w:rPr>
        <w:t>Réalités</w:t>
      </w:r>
      <w:proofErr w:type="spellEnd"/>
      <w:r w:rsidRPr="00C2012A">
        <w:rPr>
          <w:rFonts w:ascii="Cambria" w:hAnsi="Cambria"/>
          <w:bCs/>
          <w:i/>
          <w:sz w:val="24"/>
          <w:szCs w:val="24"/>
          <w:lang w:val="de-DE"/>
        </w:rPr>
        <w:t xml:space="preserve"> et </w:t>
      </w:r>
      <w:proofErr w:type="spellStart"/>
      <w:r w:rsidRPr="00C2012A">
        <w:rPr>
          <w:rFonts w:ascii="Cambria" w:hAnsi="Cambria"/>
          <w:bCs/>
          <w:i/>
          <w:sz w:val="24"/>
          <w:szCs w:val="24"/>
          <w:lang w:val="de-DE"/>
        </w:rPr>
        <w:t>conséquences</w:t>
      </w:r>
      <w:proofErr w:type="spellEnd"/>
      <w:r w:rsidRPr="00C2012A">
        <w:rPr>
          <w:rFonts w:ascii="Cambria" w:hAnsi="Cambria"/>
          <w:b/>
          <w:bCs/>
          <w:i/>
          <w:sz w:val="24"/>
          <w:szCs w:val="24"/>
          <w:lang w:val="de-DE"/>
        </w:rPr>
        <w:t>,</w:t>
      </w:r>
      <w:r w:rsidRPr="00C2012A">
        <w:rPr>
          <w:rFonts w:ascii="Cambria" w:hAnsi="Cambria"/>
          <w:sz w:val="24"/>
          <w:szCs w:val="24"/>
          <w:lang w:val="de-DE"/>
        </w:rPr>
        <w:t xml:space="preserve"> </w:t>
      </w:r>
      <w:proofErr w:type="spellStart"/>
      <w:r w:rsidRPr="00C2012A">
        <w:rPr>
          <w:rFonts w:ascii="Cambria" w:hAnsi="Cambria"/>
          <w:sz w:val="24"/>
          <w:szCs w:val="24"/>
          <w:lang w:val="de-DE"/>
        </w:rPr>
        <w:t>Septentrion</w:t>
      </w:r>
      <w:proofErr w:type="spellEnd"/>
      <w:r w:rsidRPr="00C2012A">
        <w:rPr>
          <w:rFonts w:ascii="Cambria" w:hAnsi="Cambria"/>
          <w:sz w:val="24"/>
          <w:szCs w:val="24"/>
          <w:lang w:val="de-DE"/>
        </w:rPr>
        <w:t xml:space="preserve">, Villeneuve </w:t>
      </w:r>
      <w:proofErr w:type="spellStart"/>
      <w:r w:rsidRPr="00C2012A">
        <w:rPr>
          <w:rFonts w:ascii="Cambria" w:hAnsi="Cambria"/>
          <w:sz w:val="24"/>
          <w:szCs w:val="24"/>
          <w:lang w:val="de-DE"/>
        </w:rPr>
        <w:t>d'Asq</w:t>
      </w:r>
      <w:proofErr w:type="spellEnd"/>
      <w:r w:rsidRPr="00C2012A">
        <w:rPr>
          <w:rFonts w:ascii="Cambria" w:hAnsi="Cambria"/>
          <w:sz w:val="24"/>
          <w:szCs w:val="24"/>
          <w:lang w:val="de-DE"/>
        </w:rPr>
        <w:t> :73-90.</w:t>
      </w:r>
    </w:p>
    <w:p w14:paraId="752420CC" w14:textId="77777777" w:rsidR="00D507C0" w:rsidRDefault="00D507C0" w:rsidP="00E71F89">
      <w:pPr>
        <w:pStyle w:val="Sansinterligne"/>
        <w:spacing w:after="120"/>
        <w:jc w:val="both"/>
        <w:rPr>
          <w:rFonts w:ascii="Cambria" w:hAnsi="Cambria"/>
          <w:sz w:val="24"/>
          <w:szCs w:val="24"/>
          <w:lang w:val="de-DE"/>
        </w:rPr>
      </w:pPr>
      <w:r w:rsidRPr="00224873">
        <w:rPr>
          <w:rFonts w:ascii="Cambria" w:hAnsi="Cambria"/>
          <w:sz w:val="24"/>
          <w:szCs w:val="24"/>
          <w:lang w:val="de-DE"/>
        </w:rPr>
        <w:t>Statistische Ämter des Bundes und der Länder</w:t>
      </w:r>
      <w:r>
        <w:rPr>
          <w:rFonts w:ascii="Cambria" w:hAnsi="Cambria"/>
          <w:sz w:val="24"/>
          <w:szCs w:val="24"/>
          <w:lang w:val="de-DE"/>
        </w:rPr>
        <w:t xml:space="preserve"> (dir.)</w:t>
      </w:r>
      <w:r w:rsidRPr="00224873">
        <w:rPr>
          <w:rFonts w:ascii="Cambria" w:hAnsi="Cambria"/>
          <w:sz w:val="24"/>
          <w:szCs w:val="24"/>
          <w:lang w:val="de-DE"/>
        </w:rPr>
        <w:t xml:space="preserve">, 2004, Kindertagesbetreuung regional 2002, Krippen-, Kindergarten- und Hortplätze im Vergleich, Bonn, www.destatis.de. </w:t>
      </w:r>
    </w:p>
    <w:p w14:paraId="060B1C10" w14:textId="77777777" w:rsidR="00D507C0" w:rsidRDefault="00D507C0" w:rsidP="00E71F89">
      <w:pPr>
        <w:pStyle w:val="Sansinterligne"/>
        <w:spacing w:after="120"/>
        <w:jc w:val="both"/>
        <w:rPr>
          <w:rFonts w:ascii="Cambria" w:hAnsi="Cambria"/>
          <w:sz w:val="24"/>
          <w:szCs w:val="24"/>
          <w:lang w:val="de-DE"/>
        </w:rPr>
      </w:pPr>
      <w:r w:rsidRPr="00224873">
        <w:rPr>
          <w:rFonts w:ascii="Cambria" w:hAnsi="Cambria"/>
          <w:sz w:val="24"/>
          <w:szCs w:val="24"/>
          <w:lang w:val="de-DE"/>
        </w:rPr>
        <w:t>Statistische Ämter des Bundes und der Länder</w:t>
      </w:r>
      <w:r>
        <w:rPr>
          <w:rFonts w:ascii="Cambria" w:hAnsi="Cambria"/>
          <w:sz w:val="24"/>
          <w:szCs w:val="24"/>
          <w:lang w:val="de-DE"/>
        </w:rPr>
        <w:t xml:space="preserve"> (dir.)</w:t>
      </w:r>
      <w:r w:rsidRPr="00224873">
        <w:rPr>
          <w:rFonts w:ascii="Cambria" w:hAnsi="Cambria"/>
          <w:sz w:val="24"/>
          <w:szCs w:val="24"/>
          <w:lang w:val="de-DE"/>
        </w:rPr>
        <w:t>,</w:t>
      </w:r>
      <w:r>
        <w:rPr>
          <w:rFonts w:ascii="Cambria" w:hAnsi="Cambria"/>
          <w:sz w:val="24"/>
          <w:szCs w:val="24"/>
          <w:lang w:val="de-DE"/>
        </w:rPr>
        <w:t xml:space="preserve"> 2006 à 2012,</w:t>
      </w:r>
      <w:r w:rsidRPr="00224873">
        <w:rPr>
          <w:rFonts w:ascii="Cambria" w:hAnsi="Cambria"/>
          <w:sz w:val="24"/>
          <w:szCs w:val="24"/>
          <w:lang w:val="de-DE"/>
        </w:rPr>
        <w:t xml:space="preserve"> </w:t>
      </w:r>
      <w:r w:rsidRPr="00793B4E">
        <w:rPr>
          <w:rFonts w:ascii="Cambria" w:hAnsi="Cambria"/>
          <w:i/>
          <w:sz w:val="24"/>
          <w:szCs w:val="24"/>
          <w:lang w:val="de-DE"/>
        </w:rPr>
        <w:t>Kindertagesbetreuung regional</w:t>
      </w:r>
      <w:r>
        <w:rPr>
          <w:rFonts w:ascii="Cambria" w:hAnsi="Cambria"/>
          <w:sz w:val="24"/>
          <w:szCs w:val="24"/>
          <w:lang w:val="de-DE"/>
        </w:rPr>
        <w:t xml:space="preserve">, Wiesbaden, www.destatis.de. </w:t>
      </w:r>
    </w:p>
    <w:p w14:paraId="73403F4B" w14:textId="77777777" w:rsidR="00D507C0" w:rsidRPr="00695C49" w:rsidRDefault="00D507C0" w:rsidP="00695C49">
      <w:pPr>
        <w:pStyle w:val="Sansinterligne"/>
        <w:spacing w:after="120" w:line="320" w:lineRule="exact"/>
        <w:jc w:val="both"/>
        <w:rPr>
          <w:rFonts w:ascii="Cambria" w:hAnsi="Cambria"/>
          <w:sz w:val="24"/>
          <w:szCs w:val="24"/>
          <w:lang w:val="de-DE"/>
        </w:rPr>
      </w:pPr>
      <w:r w:rsidRPr="00695C49">
        <w:rPr>
          <w:rFonts w:ascii="Cambria" w:hAnsi="Cambria"/>
          <w:sz w:val="24"/>
          <w:szCs w:val="24"/>
          <w:lang w:val="de-DE"/>
        </w:rPr>
        <w:t xml:space="preserve">Statistisches Bundesamt (dir.), 2012, </w:t>
      </w:r>
      <w:r w:rsidRPr="00F97144">
        <w:rPr>
          <w:rFonts w:ascii="Cambria" w:hAnsi="Cambria"/>
          <w:i/>
          <w:iCs/>
          <w:sz w:val="24"/>
          <w:szCs w:val="24"/>
          <w:lang w:val="de-DE"/>
        </w:rPr>
        <w:t>Öffentliche Sozialleistungen. Statistik zum Elterngeld. Gemeldete beendete Leistungsbezüge. Jahr 2011</w:t>
      </w:r>
      <w:r w:rsidRPr="00695C49">
        <w:rPr>
          <w:rFonts w:ascii="Cambria" w:hAnsi="Cambria"/>
          <w:iCs/>
          <w:sz w:val="24"/>
          <w:szCs w:val="24"/>
          <w:lang w:val="de-DE"/>
        </w:rPr>
        <w:t>,</w:t>
      </w:r>
      <w:r>
        <w:rPr>
          <w:rFonts w:ascii="Cambria" w:hAnsi="Cambria"/>
          <w:iCs/>
          <w:sz w:val="24"/>
          <w:szCs w:val="24"/>
          <w:lang w:val="de-DE"/>
        </w:rPr>
        <w:t xml:space="preserve"> </w:t>
      </w:r>
      <w:r w:rsidRPr="00695C49">
        <w:rPr>
          <w:rFonts w:ascii="Cambria" w:hAnsi="Cambria"/>
          <w:sz w:val="24"/>
          <w:szCs w:val="24"/>
          <w:lang w:val="de-DE"/>
        </w:rPr>
        <w:t xml:space="preserve">Wiesbaden, </w:t>
      </w:r>
      <w:hyperlink r:id="rId17" w:history="1">
        <w:r w:rsidRPr="00695C49">
          <w:rPr>
            <w:rStyle w:val="Lienhypertexte"/>
            <w:rFonts w:ascii="Cambria" w:hAnsi="Cambria"/>
            <w:sz w:val="24"/>
            <w:szCs w:val="24"/>
            <w:lang w:val="de-DE"/>
          </w:rPr>
          <w:t>www.destatis.de</w:t>
        </w:r>
      </w:hyperlink>
      <w:r w:rsidRPr="00695C49">
        <w:rPr>
          <w:rFonts w:ascii="Cambria" w:hAnsi="Cambria"/>
          <w:sz w:val="24"/>
          <w:szCs w:val="24"/>
          <w:lang w:val="de-DE"/>
        </w:rPr>
        <w:t xml:space="preserve">. </w:t>
      </w:r>
    </w:p>
    <w:p w14:paraId="02C903E8" w14:textId="77777777" w:rsidR="00D507C0" w:rsidRPr="00E71F89" w:rsidRDefault="00D507C0" w:rsidP="00E71F89">
      <w:pPr>
        <w:pStyle w:val="Sansinterligne"/>
        <w:spacing w:after="120"/>
        <w:jc w:val="both"/>
        <w:rPr>
          <w:rFonts w:ascii="Cambria" w:hAnsi="Cambria"/>
          <w:sz w:val="24"/>
          <w:szCs w:val="24"/>
        </w:rPr>
      </w:pPr>
      <w:r w:rsidRPr="00617058">
        <w:rPr>
          <w:rFonts w:ascii="Cambria" w:hAnsi="Cambria"/>
          <w:i/>
          <w:sz w:val="24"/>
          <w:szCs w:val="24"/>
        </w:rPr>
        <w:t>L'Union Européenne et la famille</w:t>
      </w:r>
      <w:r>
        <w:rPr>
          <w:rFonts w:ascii="Cambria" w:hAnsi="Cambria"/>
          <w:sz w:val="24"/>
          <w:szCs w:val="24"/>
        </w:rPr>
        <w:t>, 1994, Europe sociale, Commission Européenne, Direction générale de l'emploi, des relations industrielles et des affaires sociales 1.</w:t>
      </w:r>
    </w:p>
    <w:sectPr w:rsidR="00D507C0" w:rsidRPr="00E71F89" w:rsidSect="00007D0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FBA0" w14:textId="77777777" w:rsidR="00711E98" w:rsidRDefault="00711E98" w:rsidP="002B384F">
      <w:pPr>
        <w:spacing w:after="0" w:line="240" w:lineRule="auto"/>
      </w:pPr>
      <w:r>
        <w:separator/>
      </w:r>
    </w:p>
  </w:endnote>
  <w:endnote w:type="continuationSeparator" w:id="0">
    <w:p w14:paraId="0691A026" w14:textId="77777777" w:rsidR="00711E98" w:rsidRDefault="00711E98" w:rsidP="002B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5687" w14:textId="77777777" w:rsidR="00711E98" w:rsidRDefault="00711E98">
    <w:pPr>
      <w:pStyle w:val="Pieddepage"/>
      <w:jc w:val="center"/>
    </w:pPr>
    <w:r w:rsidRPr="007904BF">
      <w:rPr>
        <w:rFonts w:ascii="Cambria" w:hAnsi="Cambria"/>
      </w:rPr>
      <w:fldChar w:fldCharType="begin"/>
    </w:r>
    <w:r w:rsidRPr="007904BF">
      <w:rPr>
        <w:rFonts w:ascii="Cambria" w:hAnsi="Cambria"/>
      </w:rPr>
      <w:instrText xml:space="preserve"> PAGE   \* MERGEFORMAT </w:instrText>
    </w:r>
    <w:r w:rsidRPr="007904BF">
      <w:rPr>
        <w:rFonts w:ascii="Cambria" w:hAnsi="Cambria"/>
      </w:rPr>
      <w:fldChar w:fldCharType="separate"/>
    </w:r>
    <w:r w:rsidR="00461D91">
      <w:rPr>
        <w:rFonts w:ascii="Cambria" w:hAnsi="Cambria"/>
        <w:noProof/>
      </w:rPr>
      <w:t>15</w:t>
    </w:r>
    <w:r w:rsidRPr="007904BF">
      <w:rPr>
        <w:rFonts w:ascii="Cambria" w:hAnsi="Cambria"/>
      </w:rPr>
      <w:fldChar w:fldCharType="end"/>
    </w:r>
  </w:p>
  <w:p w14:paraId="1BFB549C" w14:textId="77777777" w:rsidR="00711E98" w:rsidRDefault="00711E9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6A695" w14:textId="77777777" w:rsidR="00711E98" w:rsidRDefault="00711E98" w:rsidP="002B384F">
      <w:pPr>
        <w:spacing w:after="0" w:line="240" w:lineRule="auto"/>
      </w:pPr>
      <w:r>
        <w:separator/>
      </w:r>
    </w:p>
  </w:footnote>
  <w:footnote w:type="continuationSeparator" w:id="0">
    <w:p w14:paraId="67BDB0EA" w14:textId="77777777" w:rsidR="00711E98" w:rsidRDefault="00711E98" w:rsidP="002B384F">
      <w:pPr>
        <w:spacing w:after="0" w:line="240" w:lineRule="auto"/>
      </w:pPr>
      <w:r>
        <w:continuationSeparator/>
      </w:r>
    </w:p>
  </w:footnote>
  <w:footnote w:id="1">
    <w:p w14:paraId="6EF79EAD" w14:textId="77777777" w:rsidR="00711E98" w:rsidRDefault="00711E98" w:rsidP="002B384F">
      <w:pPr>
        <w:pStyle w:val="Notedebasdepage"/>
        <w:jc w:val="both"/>
      </w:pPr>
      <w:r>
        <w:rPr>
          <w:rStyle w:val="Marquenotebasdepage"/>
        </w:rPr>
        <w:footnoteRef/>
      </w:r>
      <w:r>
        <w:t xml:space="preserve"> </w:t>
      </w:r>
      <w:r w:rsidRPr="00B31C04">
        <w:rPr>
          <w:rFonts w:ascii="Cambria" w:hAnsi="Cambria"/>
        </w:rPr>
        <w:t>« </w:t>
      </w:r>
      <w:r w:rsidRPr="00B31C04">
        <w:rPr>
          <w:rFonts w:ascii="Cambria" w:hAnsi="Cambria"/>
          <w:i/>
        </w:rPr>
        <w:t>La légitimité de l'intérêt communautaire sur le thème de la famille ne repose pas sur des bases idéologiques, mais sur la reconnaissance de faits objectifs comme le rôle économique de la famille, la responsabilité des familles dans l'éducation des enfants, l'importance de la famille comme lieu premier des solidarités entre générations, le souci irréversible de l'égalité des hommes et des femmes et le souhait des femmes d'accéder pleinement à une vie sociale</w:t>
      </w:r>
      <w:r w:rsidRPr="00B31C04">
        <w:rPr>
          <w:rFonts w:ascii="Cambria" w:hAnsi="Cambria"/>
        </w:rPr>
        <w:t xml:space="preserve"> (...) ». Conclusion du Conseil et des Ministres chargés, réunis au sein du Conseil du 29 septembre 1989 concernant les politiques familiales. 89/C 277/02. Journal Officiel des Communautés Européennes, 31.10.1989 n° C277/02.</w:t>
      </w:r>
    </w:p>
  </w:footnote>
  <w:footnote w:id="2">
    <w:p w14:paraId="2C8F40B2" w14:textId="77777777" w:rsidR="00711E98" w:rsidRPr="007D2DC2" w:rsidRDefault="00711E98" w:rsidP="007D2DC2">
      <w:pPr>
        <w:pStyle w:val="Notedebasdepage"/>
        <w:jc w:val="both"/>
        <w:rPr>
          <w:rFonts w:asciiTheme="majorHAnsi" w:hAnsiTheme="majorHAnsi"/>
        </w:rPr>
      </w:pPr>
      <w:r>
        <w:rPr>
          <w:rStyle w:val="Marquenotebasdepage"/>
        </w:rPr>
        <w:footnoteRef/>
      </w:r>
      <w:r>
        <w:t xml:space="preserve"> </w:t>
      </w:r>
      <w:r w:rsidRPr="007D2DC2">
        <w:rPr>
          <w:rFonts w:asciiTheme="majorHAnsi" w:hAnsiTheme="majorHAnsi"/>
        </w:rPr>
        <w:t>L'indicateur conjoncturel de fécondité a certes augmenté à nouveau, dans la plupart des pays européens, depuis le début des années 2000, mais il se maintient d'une manière générale, sensiblement en dessous du niveau de renouvellement des générations</w:t>
      </w:r>
      <w:r>
        <w:rPr>
          <w:rFonts w:asciiTheme="majorHAnsi" w:hAnsiTheme="majorHAnsi"/>
        </w:rPr>
        <w:t>.</w:t>
      </w:r>
    </w:p>
  </w:footnote>
  <w:footnote w:id="3">
    <w:p w14:paraId="0EB1C229" w14:textId="77777777" w:rsidR="00711E98" w:rsidRPr="005A5BA6" w:rsidRDefault="00711E98" w:rsidP="005A5BA6">
      <w:pPr>
        <w:pStyle w:val="Notedebasdepage"/>
        <w:jc w:val="both"/>
        <w:rPr>
          <w:rFonts w:asciiTheme="majorHAnsi" w:hAnsiTheme="majorHAnsi"/>
        </w:rPr>
      </w:pPr>
      <w:r w:rsidRPr="005A5BA6">
        <w:rPr>
          <w:rStyle w:val="Marquenotebasdepage"/>
          <w:rFonts w:asciiTheme="majorHAnsi" w:hAnsiTheme="majorHAnsi"/>
        </w:rPr>
        <w:footnoteRef/>
      </w:r>
      <w:r w:rsidRPr="005A5BA6">
        <w:rPr>
          <w:rFonts w:asciiTheme="majorHAnsi" w:hAnsiTheme="majorHAnsi"/>
        </w:rPr>
        <w:t xml:space="preserve"> « La protection de la famille est assurée sur le plan juridique, économique et social. Afin de pouvoir concilier la vie familiale et professionnelle, toute personne a le droit d'être protégée contre tout licenciement pour un motif lié à la maternité, ainsi que le droit à un congé de maternité payé et à un congé parental à la suite de la naissance ou de l'adoption d'un enfant », Charte des droits fondamentaux de l'Union Européenne.</w:t>
      </w:r>
    </w:p>
  </w:footnote>
  <w:footnote w:id="4">
    <w:p w14:paraId="54725C09" w14:textId="77777777" w:rsidR="00711E98" w:rsidRPr="005A5BA6" w:rsidRDefault="00711E98" w:rsidP="005A5BA6">
      <w:pPr>
        <w:pStyle w:val="Notedebasdepage"/>
        <w:jc w:val="both"/>
        <w:rPr>
          <w:rFonts w:asciiTheme="majorHAnsi" w:hAnsiTheme="majorHAnsi"/>
        </w:rPr>
      </w:pPr>
      <w:r>
        <w:rPr>
          <w:rStyle w:val="Marquenotebasdepage"/>
        </w:rPr>
        <w:footnoteRef/>
      </w:r>
      <w:r>
        <w:t xml:space="preserve"> </w:t>
      </w:r>
      <w:r w:rsidRPr="005A5BA6">
        <w:rPr>
          <w:rFonts w:asciiTheme="majorHAnsi" w:hAnsiTheme="majorHAnsi"/>
        </w:rPr>
        <w:t xml:space="preserve">J. </w:t>
      </w:r>
      <w:proofErr w:type="spellStart"/>
      <w:r w:rsidRPr="005A5BA6">
        <w:rPr>
          <w:rFonts w:asciiTheme="majorHAnsi" w:hAnsiTheme="majorHAnsi"/>
        </w:rPr>
        <w:t>Dutheil</w:t>
      </w:r>
      <w:proofErr w:type="spellEnd"/>
      <w:r w:rsidRPr="005A5BA6">
        <w:rPr>
          <w:rFonts w:asciiTheme="majorHAnsi" w:hAnsiTheme="majorHAnsi"/>
        </w:rPr>
        <w:t xml:space="preserve"> de la </w:t>
      </w:r>
      <w:proofErr w:type="spellStart"/>
      <w:r w:rsidRPr="005A5BA6">
        <w:rPr>
          <w:rFonts w:asciiTheme="majorHAnsi" w:hAnsiTheme="majorHAnsi"/>
        </w:rPr>
        <w:t>Rochère</w:t>
      </w:r>
      <w:proofErr w:type="spellEnd"/>
      <w:r w:rsidRPr="005A5BA6">
        <w:rPr>
          <w:rFonts w:asciiTheme="majorHAnsi" w:hAnsiTheme="majorHAnsi"/>
        </w:rPr>
        <w:t xml:space="preserve">, Introduction au droit de l'Union Européenne, 99, cité d'après Adeline </w:t>
      </w:r>
      <w:proofErr w:type="spellStart"/>
      <w:r w:rsidRPr="005A5BA6">
        <w:rPr>
          <w:rFonts w:asciiTheme="majorHAnsi" w:hAnsiTheme="majorHAnsi"/>
        </w:rPr>
        <w:t>Gouttenoire</w:t>
      </w:r>
      <w:proofErr w:type="spellEnd"/>
      <w:r w:rsidRPr="005A5BA6">
        <w:rPr>
          <w:rFonts w:asciiTheme="majorHAnsi" w:hAnsiTheme="majorHAnsi"/>
        </w:rPr>
        <w:t>, La double protection de la famille en Europe, Informations sociales, CNAF 129: 38.</w:t>
      </w:r>
    </w:p>
  </w:footnote>
  <w:footnote w:id="5">
    <w:p w14:paraId="4241A780" w14:textId="77777777" w:rsidR="00711E98" w:rsidRDefault="00711E98" w:rsidP="00BA0C1E">
      <w:pPr>
        <w:pStyle w:val="Notedebasdepage"/>
        <w:jc w:val="both"/>
      </w:pPr>
      <w:r>
        <w:rPr>
          <w:rStyle w:val="Marquenotebasdepage"/>
        </w:rPr>
        <w:footnoteRef/>
      </w:r>
      <w:r>
        <w:t xml:space="preserve"> </w:t>
      </w:r>
      <w:r w:rsidRPr="00BA0C1E">
        <w:rPr>
          <w:rFonts w:ascii="Cambria" w:hAnsi="Cambria"/>
        </w:rPr>
        <w:t xml:space="preserve">A titre d'exemple, la commission européenne met en avant le modèle scandinave quant à la politique familiale à l'égard des pères et à leur implication dans la vie familiale. </w:t>
      </w:r>
      <w:r w:rsidRPr="00BA0C1E">
        <w:rPr>
          <w:rFonts w:ascii="Cambria" w:hAnsi="Cambria"/>
          <w:i/>
        </w:rPr>
        <w:t>Le père dans la famille de demain</w:t>
      </w:r>
      <w:r w:rsidRPr="00BA0C1E">
        <w:rPr>
          <w:rFonts w:ascii="Cambria" w:hAnsi="Cambria"/>
        </w:rPr>
        <w:t>, séminaire de Copenhague des 17 et 18 juin 1993.</w:t>
      </w:r>
    </w:p>
  </w:footnote>
  <w:footnote w:id="6">
    <w:p w14:paraId="6BC3B85B" w14:textId="77777777" w:rsidR="00711E98" w:rsidRDefault="00711E98" w:rsidP="00CB09CC">
      <w:pPr>
        <w:pStyle w:val="Notedebasdepage"/>
      </w:pPr>
      <w:r w:rsidRPr="00CB09CC">
        <w:rPr>
          <w:rStyle w:val="Marquenotebasdepage"/>
          <w:rFonts w:ascii="Cambria" w:hAnsi="Cambria"/>
        </w:rPr>
        <w:footnoteRef/>
      </w:r>
      <w:r w:rsidRPr="00CB09CC">
        <w:rPr>
          <w:rFonts w:ascii="Cambria" w:hAnsi="Cambria"/>
        </w:rPr>
        <w:t xml:space="preserve"> La Coface est ainsi à l’origine de la directive sur le congé parental de 1996.</w:t>
      </w:r>
    </w:p>
  </w:footnote>
  <w:footnote w:id="7">
    <w:p w14:paraId="4E84799D" w14:textId="29D0D680" w:rsidR="00711E98" w:rsidRDefault="00711E98" w:rsidP="00CB09CC">
      <w:pPr>
        <w:pStyle w:val="Notedebasdepage"/>
        <w:jc w:val="both"/>
      </w:pPr>
      <w:r w:rsidRPr="00CB09CC">
        <w:rPr>
          <w:rStyle w:val="Marquenotebasdepage"/>
          <w:rFonts w:ascii="Cambria" w:hAnsi="Cambria"/>
        </w:rPr>
        <w:footnoteRef/>
      </w:r>
      <w:r w:rsidRPr="00CB09CC">
        <w:rPr>
          <w:rFonts w:ascii="Cambria" w:hAnsi="Cambria"/>
        </w:rPr>
        <w:t xml:space="preserve"> La Commission de l’Emploi et des Affaires sociales rédige ainsi des rapports soumis à l’approbation du parlement européen et transmis à la commission qui peut ensuite légiférer (ou non) suivant les propositions du rapport.</w:t>
      </w:r>
    </w:p>
  </w:footnote>
  <w:footnote w:id="8">
    <w:p w14:paraId="4B3A4DEE" w14:textId="77777777" w:rsidR="00711E98" w:rsidRPr="00C80EA1" w:rsidRDefault="00711E98" w:rsidP="00C80EA1">
      <w:pPr>
        <w:pStyle w:val="Notedebasdepage"/>
        <w:jc w:val="both"/>
        <w:rPr>
          <w:rFonts w:asciiTheme="majorHAnsi" w:hAnsiTheme="majorHAnsi"/>
        </w:rPr>
      </w:pPr>
      <w:r>
        <w:rPr>
          <w:rStyle w:val="Marquenotebasdepage"/>
        </w:rPr>
        <w:footnoteRef/>
      </w:r>
      <w:r>
        <w:t xml:space="preserve"> </w:t>
      </w:r>
      <w:r w:rsidRPr="00C80EA1">
        <w:rPr>
          <w:rFonts w:asciiTheme="majorHAnsi" w:hAnsiTheme="majorHAnsi"/>
        </w:rPr>
        <w:t>Les recommandations donnent lieu à la formulation de méthodes ouvertes de coordination (MOC) déclinées dans les différents Etats-membres et donnant lieu à la rédaction de rapports sur l'avancement de réformes et les résultats obtenus</w:t>
      </w:r>
      <w:r>
        <w:rPr>
          <w:rFonts w:asciiTheme="majorHAnsi" w:hAnsiTheme="majorHAnsi"/>
        </w:rPr>
        <w:t xml:space="preserve"> (Hamel, 2013)</w:t>
      </w:r>
      <w:r w:rsidRPr="00C80EA1">
        <w:rPr>
          <w:rFonts w:asciiTheme="majorHAnsi" w:hAnsiTheme="majorHAnsi"/>
        </w:rPr>
        <w:t>.</w:t>
      </w:r>
    </w:p>
  </w:footnote>
  <w:footnote w:id="9">
    <w:p w14:paraId="16CC91C2" w14:textId="77777777" w:rsidR="00711E98" w:rsidRDefault="00711E98" w:rsidP="002A4541">
      <w:pPr>
        <w:pStyle w:val="Notedebasdepage"/>
        <w:jc w:val="both"/>
      </w:pPr>
      <w:r>
        <w:rPr>
          <w:rStyle w:val="Marquenotebasdepage"/>
        </w:rPr>
        <w:footnoteRef/>
      </w:r>
      <w:r>
        <w:t xml:space="preserve"> </w:t>
      </w:r>
      <w:r w:rsidRPr="002A4541">
        <w:rPr>
          <w:rFonts w:ascii="Cambria" w:hAnsi="Cambria"/>
        </w:rPr>
        <w:t xml:space="preserve">Dès 1986, l'Allemagne avait introduit un congé parental d'un an dont la durée fut portée progressivement à trois ans. </w:t>
      </w:r>
      <w:r>
        <w:rPr>
          <w:rFonts w:ascii="Cambria" w:hAnsi="Cambria"/>
        </w:rPr>
        <w:t>Au début des années 2000, il était rémunéré, pour une période de deux ans, à hauteur de 600 DM, puis de 300 euros par mois, avec le passage à l'euro.</w:t>
      </w:r>
    </w:p>
  </w:footnote>
  <w:footnote w:id="10">
    <w:p w14:paraId="41008157" w14:textId="441AA267" w:rsidR="00711E98" w:rsidRDefault="00711E98" w:rsidP="003C056A">
      <w:pPr>
        <w:pStyle w:val="Notedebasdepage"/>
        <w:jc w:val="both"/>
      </w:pPr>
      <w:r>
        <w:rPr>
          <w:rStyle w:val="Marquenotebasdepage"/>
        </w:rPr>
        <w:footnoteRef/>
      </w:r>
      <w:r>
        <w:t xml:space="preserve"> </w:t>
      </w:r>
      <w:r w:rsidRPr="003C056A">
        <w:rPr>
          <w:rFonts w:ascii="Cambria" w:hAnsi="Cambria"/>
        </w:rPr>
        <w:t xml:space="preserve">Jusqu'en 2006, </w:t>
      </w:r>
      <w:r>
        <w:rPr>
          <w:rFonts w:ascii="Cambria" w:hAnsi="Cambria"/>
        </w:rPr>
        <w:t xml:space="preserve">les statistiques sur la prise en charge des enfants dans des infrastructures d'accueil </w:t>
      </w:r>
      <w:r w:rsidRPr="003C056A">
        <w:rPr>
          <w:rFonts w:ascii="Cambria" w:hAnsi="Cambria"/>
        </w:rPr>
        <w:t xml:space="preserve">(crèches, jardins d'enfants et garderie) </w:t>
      </w:r>
      <w:r>
        <w:rPr>
          <w:rFonts w:ascii="Cambria" w:hAnsi="Cambria"/>
        </w:rPr>
        <w:t>n'étaient recensées que tous les quatre ans. Il n'existe donc pas de données disponibles pour l'année 2000. Depuis 2006, les statistiques sur la prise en charge des enfants sont publiées tous les ans.</w:t>
      </w:r>
    </w:p>
  </w:footnote>
  <w:footnote w:id="11">
    <w:p w14:paraId="4B6EB37B" w14:textId="77777777" w:rsidR="00711E98" w:rsidRDefault="00711E98" w:rsidP="006C507F">
      <w:pPr>
        <w:pStyle w:val="Notedebasdepage"/>
        <w:jc w:val="both"/>
      </w:pPr>
      <w:r>
        <w:rPr>
          <w:rStyle w:val="Marquenotebasdepage"/>
        </w:rPr>
        <w:footnoteRef/>
      </w:r>
      <w:r>
        <w:t xml:space="preserve"> </w:t>
      </w:r>
      <w:r>
        <w:rPr>
          <w:rFonts w:ascii="Cambria" w:hAnsi="Cambria"/>
        </w:rPr>
        <w:t>Jusqu'en 2006, l</w:t>
      </w:r>
      <w:r w:rsidRPr="006C507F">
        <w:rPr>
          <w:rFonts w:ascii="Cambria" w:hAnsi="Cambria"/>
        </w:rPr>
        <w:t>'Office fédéral des statistiques recensait uniquement le nombre de places disponibles dans les infrastructures d'accueil et calculait, sur cette base, le rapport entre le nombre de places offertes et le nombre d'enfants de la tranche d'âge concernée. Dans la mesure où ce procédé ne permet cependant pas d'avoir d'informations précises sur les enfants réellement pris en charge dans des infrastructures d'accueil, le mode de recensement a été modifié en 2006. Depuis 2006, l'Office fédéral des statistiques relève le nombre d'enfants pris en charge à l'extérieur en fonction de leur âge, de leur origine</w:t>
      </w:r>
      <w:r>
        <w:rPr>
          <w:rFonts w:ascii="Cambria" w:hAnsi="Cambria"/>
        </w:rPr>
        <w:t xml:space="preserve"> (immigrée ou non) et de la durée de l'accueil</w:t>
      </w:r>
      <w:r w:rsidRPr="006C507F">
        <w:rPr>
          <w:rFonts w:ascii="Cambria" w:hAnsi="Cambria"/>
        </w:rPr>
        <w:t xml:space="preserve"> (</w:t>
      </w:r>
      <w:proofErr w:type="spellStart"/>
      <w:r w:rsidRPr="006C507F">
        <w:rPr>
          <w:rFonts w:ascii="Cambria" w:hAnsi="Cambria"/>
        </w:rPr>
        <w:t>Kolvenbach</w:t>
      </w:r>
      <w:proofErr w:type="spellEnd"/>
      <w:r w:rsidRPr="006C507F">
        <w:rPr>
          <w:rFonts w:ascii="Cambria" w:hAnsi="Cambria"/>
        </w:rPr>
        <w:t xml:space="preserve">, </w:t>
      </w:r>
      <w:proofErr w:type="spellStart"/>
      <w:r w:rsidRPr="006C507F">
        <w:rPr>
          <w:rFonts w:ascii="Cambria" w:hAnsi="Cambria"/>
        </w:rPr>
        <w:t>Taubmann</w:t>
      </w:r>
      <w:proofErr w:type="spellEnd"/>
      <w:r w:rsidRPr="006C507F">
        <w:rPr>
          <w:rFonts w:ascii="Cambria" w:hAnsi="Cambria"/>
        </w:rPr>
        <w:t xml:space="preserve"> 2006).</w:t>
      </w:r>
    </w:p>
  </w:footnote>
  <w:footnote w:id="12">
    <w:p w14:paraId="70E85D75" w14:textId="77777777" w:rsidR="00711E98" w:rsidRDefault="00711E98" w:rsidP="007271D9">
      <w:pPr>
        <w:pStyle w:val="Notedebasdepage"/>
        <w:jc w:val="both"/>
      </w:pPr>
      <w:r>
        <w:rPr>
          <w:rStyle w:val="Marquenotebasdepage"/>
        </w:rPr>
        <w:footnoteRef/>
      </w:r>
      <w:r>
        <w:t xml:space="preserve"> </w:t>
      </w:r>
      <w:r w:rsidRPr="007271D9">
        <w:rPr>
          <w:rFonts w:ascii="Cambria" w:hAnsi="Cambria"/>
        </w:rPr>
        <w:t xml:space="preserve">Le DIW est l'Institut allemand d'Etudes Economiques; il est basé à Berlin. Les données présentées concernent uniquement les enfants </w:t>
      </w:r>
      <w:r>
        <w:rPr>
          <w:rFonts w:ascii="Cambria" w:hAnsi="Cambria"/>
        </w:rPr>
        <w:t xml:space="preserve">issus de ménages </w:t>
      </w:r>
      <w:r w:rsidRPr="007271D9">
        <w:rPr>
          <w:rFonts w:ascii="Cambria" w:hAnsi="Cambria"/>
        </w:rPr>
        <w:t xml:space="preserve">dont le </w:t>
      </w:r>
      <w:r>
        <w:rPr>
          <w:rFonts w:ascii="Cambria" w:hAnsi="Cambria"/>
        </w:rPr>
        <w:t>principal pourvoyeur de ressources</w:t>
      </w:r>
      <w:r w:rsidRPr="007271D9">
        <w:rPr>
          <w:rFonts w:ascii="Cambria" w:hAnsi="Cambria"/>
        </w:rPr>
        <w:t xml:space="preserve"> est allemand.</w:t>
      </w:r>
    </w:p>
  </w:footnote>
  <w:footnote w:id="13">
    <w:p w14:paraId="1D56414D" w14:textId="7A09E267" w:rsidR="00711E98" w:rsidRDefault="00711E98" w:rsidP="006164DB">
      <w:pPr>
        <w:pStyle w:val="Notedebasdepage"/>
        <w:jc w:val="both"/>
      </w:pPr>
      <w:r>
        <w:rPr>
          <w:rStyle w:val="Marquenotebasdepage"/>
        </w:rPr>
        <w:footnoteRef/>
      </w:r>
      <w:r>
        <w:t xml:space="preserve"> </w:t>
      </w:r>
      <w:r w:rsidRPr="006164DB">
        <w:rPr>
          <w:rFonts w:ascii="Cambria" w:hAnsi="Cambria"/>
        </w:rPr>
        <w:t>Données communiquées par l'Office fédéral des statistiques. Il s'agit d'une moyenne seulement, qui dissimule de forts écarts régionaux. Certains districts, à l'ouest, ne propos</w:t>
      </w:r>
      <w:r>
        <w:rPr>
          <w:rFonts w:ascii="Cambria" w:hAnsi="Cambria"/>
        </w:rPr>
        <w:t>aient, en 2002,</w:t>
      </w:r>
      <w:r w:rsidRPr="006164DB">
        <w:rPr>
          <w:rFonts w:ascii="Cambria" w:hAnsi="Cambria"/>
        </w:rPr>
        <w:t xml:space="preserve"> aucune place d'accueil pour les tout-petits, tandis que </w:t>
      </w:r>
      <w:r>
        <w:rPr>
          <w:rFonts w:ascii="Cambria" w:hAnsi="Cambria"/>
        </w:rPr>
        <w:t xml:space="preserve">la ville-Etat de </w:t>
      </w:r>
      <w:r w:rsidRPr="006164DB">
        <w:rPr>
          <w:rFonts w:ascii="Cambria" w:hAnsi="Cambria"/>
        </w:rPr>
        <w:t>Hambourg par exemple, p</w:t>
      </w:r>
      <w:r>
        <w:rPr>
          <w:rFonts w:ascii="Cambria" w:hAnsi="Cambria"/>
        </w:rPr>
        <w:t>o</w:t>
      </w:r>
      <w:r w:rsidRPr="006164DB">
        <w:rPr>
          <w:rFonts w:ascii="Cambria" w:hAnsi="Cambria"/>
        </w:rPr>
        <w:t>uv</w:t>
      </w:r>
      <w:r>
        <w:rPr>
          <w:rFonts w:ascii="Cambria" w:hAnsi="Cambria"/>
        </w:rPr>
        <w:t>ai</w:t>
      </w:r>
      <w:r w:rsidRPr="006164DB">
        <w:rPr>
          <w:rFonts w:ascii="Cambria" w:hAnsi="Cambria"/>
        </w:rPr>
        <w:t>t accueillir 13</w:t>
      </w:r>
      <w:r>
        <w:rPr>
          <w:rFonts w:ascii="Cambria" w:hAnsi="Cambria"/>
        </w:rPr>
        <w:t>,1</w:t>
      </w:r>
      <w:r w:rsidRPr="006164DB">
        <w:rPr>
          <w:rFonts w:ascii="Cambria" w:hAnsi="Cambria"/>
        </w:rPr>
        <w:t>% des enfants. A l'est, de la même manière, certains districts n'offr</w:t>
      </w:r>
      <w:r>
        <w:rPr>
          <w:rFonts w:ascii="Cambria" w:hAnsi="Cambria"/>
        </w:rPr>
        <w:t>aient</w:t>
      </w:r>
      <w:r w:rsidRPr="006164DB">
        <w:rPr>
          <w:rFonts w:ascii="Cambria" w:hAnsi="Cambria"/>
        </w:rPr>
        <w:t xml:space="preserve"> de place</w:t>
      </w:r>
      <w:r>
        <w:rPr>
          <w:rFonts w:ascii="Cambria" w:hAnsi="Cambria"/>
        </w:rPr>
        <w:t>s</w:t>
      </w:r>
      <w:r w:rsidRPr="006164DB">
        <w:rPr>
          <w:rFonts w:ascii="Cambria" w:hAnsi="Cambria"/>
        </w:rPr>
        <w:t xml:space="preserve"> que pour un enfant sur sept ou sur huit, tandis que d'autres </w:t>
      </w:r>
      <w:r>
        <w:rPr>
          <w:rFonts w:ascii="Cambria" w:hAnsi="Cambria"/>
        </w:rPr>
        <w:t>étaie</w:t>
      </w:r>
      <w:r w:rsidRPr="006164DB">
        <w:rPr>
          <w:rFonts w:ascii="Cambria" w:hAnsi="Cambria"/>
        </w:rPr>
        <w:t>nt en mesure de couvrir les deux-tiers des besoins</w:t>
      </w:r>
      <w:r>
        <w:rPr>
          <w:rFonts w:ascii="Cambria" w:hAnsi="Cambria"/>
        </w:rPr>
        <w:t xml:space="preserve"> (Voir </w:t>
      </w:r>
      <w:proofErr w:type="spellStart"/>
      <w:r>
        <w:rPr>
          <w:rFonts w:ascii="Cambria" w:hAnsi="Cambria"/>
        </w:rPr>
        <w:t>Statistische</w:t>
      </w:r>
      <w:proofErr w:type="spellEnd"/>
      <w:r>
        <w:rPr>
          <w:rFonts w:ascii="Cambria" w:hAnsi="Cambria"/>
        </w:rPr>
        <w:t xml:space="preserve"> </w:t>
      </w:r>
      <w:proofErr w:type="spellStart"/>
      <w:r>
        <w:rPr>
          <w:rFonts w:ascii="Cambria" w:hAnsi="Cambria"/>
        </w:rPr>
        <w:t>Ämter</w:t>
      </w:r>
      <w:proofErr w:type="spellEnd"/>
      <w:r>
        <w:rPr>
          <w:rFonts w:ascii="Cambria" w:hAnsi="Cambria"/>
        </w:rPr>
        <w:t xml:space="preserve"> des </w:t>
      </w:r>
      <w:proofErr w:type="spellStart"/>
      <w:r>
        <w:rPr>
          <w:rFonts w:ascii="Cambria" w:hAnsi="Cambria"/>
        </w:rPr>
        <w:t>Bundes</w:t>
      </w:r>
      <w:proofErr w:type="spellEnd"/>
      <w:r>
        <w:rPr>
          <w:rFonts w:ascii="Cambria" w:hAnsi="Cambria"/>
        </w:rPr>
        <w:t xml:space="preserve"> </w:t>
      </w:r>
      <w:proofErr w:type="spellStart"/>
      <w:r>
        <w:rPr>
          <w:rFonts w:ascii="Cambria" w:hAnsi="Cambria"/>
        </w:rPr>
        <w:t>und</w:t>
      </w:r>
      <w:proofErr w:type="spellEnd"/>
      <w:r>
        <w:rPr>
          <w:rFonts w:ascii="Cambria" w:hAnsi="Cambria"/>
        </w:rPr>
        <w:t xml:space="preserve"> der Länder 2004).</w:t>
      </w:r>
    </w:p>
  </w:footnote>
  <w:footnote w:id="14">
    <w:p w14:paraId="1113DAC0" w14:textId="77777777" w:rsidR="00711E98" w:rsidRPr="003C230B" w:rsidRDefault="00711E98" w:rsidP="003C230B">
      <w:pPr>
        <w:pStyle w:val="Notedebasdepage"/>
        <w:jc w:val="both"/>
        <w:rPr>
          <w:rFonts w:asciiTheme="majorHAnsi" w:hAnsiTheme="majorHAnsi"/>
        </w:rPr>
      </w:pPr>
      <w:r w:rsidRPr="003C230B">
        <w:rPr>
          <w:rStyle w:val="Marquenotebasdepage"/>
          <w:rFonts w:asciiTheme="majorHAnsi" w:hAnsiTheme="majorHAnsi"/>
        </w:rPr>
        <w:footnoteRef/>
      </w:r>
      <w:r w:rsidRPr="003C230B">
        <w:rPr>
          <w:rFonts w:asciiTheme="majorHAnsi" w:hAnsiTheme="majorHAnsi"/>
        </w:rPr>
        <w:t xml:space="preserve"> Le taux d'emploi des Allemandes de l'est se situait</w:t>
      </w:r>
      <w:r>
        <w:rPr>
          <w:rFonts w:asciiTheme="majorHAnsi" w:hAnsiTheme="majorHAnsi"/>
        </w:rPr>
        <w:t xml:space="preserve"> certes</w:t>
      </w:r>
      <w:r w:rsidRPr="003C230B">
        <w:rPr>
          <w:rFonts w:asciiTheme="majorHAnsi" w:hAnsiTheme="majorHAnsi"/>
        </w:rPr>
        <w:t xml:space="preserve">, en 1991, à 66,2%, contre 54,3% à l'ouest. </w:t>
      </w:r>
      <w:r>
        <w:rPr>
          <w:rFonts w:asciiTheme="majorHAnsi" w:hAnsiTheme="majorHAnsi"/>
        </w:rPr>
        <w:t>Il atteignait ainsi un niveau sensiblement supérieur à celui préconisé dans le cadre la stratégie de Lisbonne. Mais en raison des difficultés économiques et de la forte hausse du chômage, il était tombé en 1993 à 55,8% et s'était maintenu autour de 57% jusqu'au début des années 2000.</w:t>
      </w:r>
    </w:p>
  </w:footnote>
  <w:footnote w:id="15">
    <w:p w14:paraId="41BBBEEF" w14:textId="77777777" w:rsidR="00711E98" w:rsidRDefault="00711E98" w:rsidP="005E1471">
      <w:pPr>
        <w:pStyle w:val="Notedebasdepage"/>
        <w:jc w:val="both"/>
      </w:pPr>
      <w:r>
        <w:rPr>
          <w:rStyle w:val="Marquenotebasdepage"/>
        </w:rPr>
        <w:footnoteRef/>
      </w:r>
      <w:r>
        <w:t xml:space="preserve"> </w:t>
      </w:r>
      <w:r w:rsidRPr="00977181">
        <w:rPr>
          <w:rFonts w:ascii="Cambria" w:hAnsi="Cambria"/>
        </w:rPr>
        <w:t>Pour les salaires inférieurs à 12</w:t>
      </w:r>
      <w:r>
        <w:rPr>
          <w:rFonts w:ascii="Cambria" w:hAnsi="Cambria"/>
        </w:rPr>
        <w:t>4</w:t>
      </w:r>
      <w:r w:rsidRPr="00977181">
        <w:rPr>
          <w:rFonts w:ascii="Cambria" w:hAnsi="Cambria"/>
        </w:rPr>
        <w:t>0 euros, le taux de remplacement augmente progressivement et peut atteindre 100% du salaire net perçu précédemment.</w:t>
      </w:r>
    </w:p>
  </w:footnote>
  <w:footnote w:id="16">
    <w:p w14:paraId="5A989FBA" w14:textId="77777777" w:rsidR="00711E98" w:rsidRDefault="00711E98" w:rsidP="002A4872">
      <w:pPr>
        <w:pStyle w:val="Notedebasdepage"/>
        <w:jc w:val="both"/>
      </w:pPr>
      <w:r>
        <w:rPr>
          <w:rStyle w:val="Marquenotebasdepage"/>
        </w:rPr>
        <w:footnoteRef/>
      </w:r>
      <w:r>
        <w:t xml:space="preserve"> </w:t>
      </w:r>
      <w:r w:rsidRPr="00BB4078">
        <w:rPr>
          <w:rFonts w:ascii="Cambria" w:hAnsi="Cambria"/>
        </w:rPr>
        <w:t>Le ministère de la Famille term</w:t>
      </w:r>
      <w:r>
        <w:rPr>
          <w:rFonts w:ascii="Cambria" w:hAnsi="Cambria"/>
        </w:rPr>
        <w:t>ine ainsi son article intitulé « </w:t>
      </w:r>
      <w:proofErr w:type="spellStart"/>
      <w:r w:rsidRPr="00590F82">
        <w:rPr>
          <w:rFonts w:ascii="Cambria" w:hAnsi="Cambria"/>
          <w:i/>
        </w:rPr>
        <w:t>Deutschland</w:t>
      </w:r>
      <w:proofErr w:type="spellEnd"/>
      <w:r w:rsidRPr="00590F82">
        <w:rPr>
          <w:rFonts w:ascii="Cambria" w:hAnsi="Cambria"/>
          <w:i/>
        </w:rPr>
        <w:t xml:space="preserve"> </w:t>
      </w:r>
      <w:proofErr w:type="spellStart"/>
      <w:r w:rsidRPr="00590F82">
        <w:rPr>
          <w:rFonts w:ascii="Cambria" w:hAnsi="Cambria"/>
          <w:i/>
        </w:rPr>
        <w:t>wird</w:t>
      </w:r>
      <w:proofErr w:type="spellEnd"/>
      <w:r w:rsidRPr="00590F82">
        <w:rPr>
          <w:rFonts w:ascii="Cambria" w:hAnsi="Cambria"/>
          <w:i/>
        </w:rPr>
        <w:t xml:space="preserve"> </w:t>
      </w:r>
      <w:proofErr w:type="spellStart"/>
      <w:r w:rsidRPr="00590F82">
        <w:rPr>
          <w:rFonts w:ascii="Cambria" w:hAnsi="Cambria"/>
          <w:i/>
        </w:rPr>
        <w:t>kinderfreundlich</w:t>
      </w:r>
      <w:proofErr w:type="spellEnd"/>
      <w:r w:rsidRPr="00590F82">
        <w:rPr>
          <w:rFonts w:ascii="Cambria" w:hAnsi="Cambria"/>
          <w:i/>
        </w:rPr>
        <w:t xml:space="preserve"> - </w:t>
      </w:r>
      <w:proofErr w:type="spellStart"/>
      <w:r w:rsidRPr="00590F82">
        <w:rPr>
          <w:rFonts w:ascii="Cambria" w:hAnsi="Cambria"/>
          <w:i/>
        </w:rPr>
        <w:t>mehr</w:t>
      </w:r>
      <w:proofErr w:type="spellEnd"/>
      <w:r w:rsidRPr="00590F82">
        <w:rPr>
          <w:rFonts w:ascii="Cambria" w:hAnsi="Cambria"/>
          <w:i/>
        </w:rPr>
        <w:t xml:space="preserve"> </w:t>
      </w:r>
      <w:proofErr w:type="spellStart"/>
      <w:r w:rsidRPr="00590F82">
        <w:rPr>
          <w:rFonts w:ascii="Cambria" w:hAnsi="Cambria"/>
          <w:i/>
        </w:rPr>
        <w:t>Betreuungsplätze</w:t>
      </w:r>
      <w:proofErr w:type="spellEnd"/>
      <w:r w:rsidRPr="00590F82">
        <w:rPr>
          <w:rFonts w:ascii="Cambria" w:hAnsi="Cambria"/>
          <w:i/>
        </w:rPr>
        <w:t xml:space="preserve"> </w:t>
      </w:r>
      <w:proofErr w:type="spellStart"/>
      <w:r w:rsidRPr="00590F82">
        <w:rPr>
          <w:rFonts w:ascii="Cambria" w:hAnsi="Cambria"/>
          <w:i/>
        </w:rPr>
        <w:t>für</w:t>
      </w:r>
      <w:proofErr w:type="spellEnd"/>
      <w:r w:rsidRPr="00590F82">
        <w:rPr>
          <w:rFonts w:ascii="Cambria" w:hAnsi="Cambria"/>
          <w:i/>
        </w:rPr>
        <w:t xml:space="preserve"> </w:t>
      </w:r>
      <w:proofErr w:type="spellStart"/>
      <w:r w:rsidRPr="00590F82">
        <w:rPr>
          <w:rFonts w:ascii="Cambria" w:hAnsi="Cambria"/>
          <w:i/>
        </w:rPr>
        <w:t>unter</w:t>
      </w:r>
      <w:proofErr w:type="spellEnd"/>
      <w:r w:rsidRPr="00590F82">
        <w:rPr>
          <w:rFonts w:ascii="Cambria" w:hAnsi="Cambria"/>
          <w:i/>
        </w:rPr>
        <w:t xml:space="preserve"> </w:t>
      </w:r>
      <w:proofErr w:type="spellStart"/>
      <w:r w:rsidRPr="00590F82">
        <w:rPr>
          <w:rFonts w:ascii="Cambria" w:hAnsi="Cambria"/>
          <w:i/>
        </w:rPr>
        <w:t>Dreijährige</w:t>
      </w:r>
      <w:proofErr w:type="spellEnd"/>
      <w:r w:rsidRPr="00590F82">
        <w:rPr>
          <w:rFonts w:ascii="Cambria" w:hAnsi="Cambria"/>
          <w:i/>
        </w:rPr>
        <w:t> </w:t>
      </w:r>
      <w:r>
        <w:rPr>
          <w:rFonts w:ascii="Cambria" w:hAnsi="Cambria"/>
        </w:rPr>
        <w:t>»</w:t>
      </w:r>
      <w:r w:rsidRPr="00BB4078">
        <w:rPr>
          <w:rFonts w:ascii="Cambria" w:hAnsi="Cambria"/>
        </w:rPr>
        <w:t xml:space="preserve"> par ces mot</w:t>
      </w:r>
      <w:r>
        <w:rPr>
          <w:rFonts w:ascii="Cambria" w:hAnsi="Cambria"/>
        </w:rPr>
        <w:t>s: « </w:t>
      </w:r>
      <w:r w:rsidRPr="00590F82">
        <w:rPr>
          <w:rFonts w:ascii="Cambria" w:hAnsi="Cambria"/>
          <w:i/>
        </w:rPr>
        <w:t>c'est l'objectif de la stratégie de Barcelone</w:t>
      </w:r>
      <w:r>
        <w:rPr>
          <w:rFonts w:ascii="Cambria" w:hAnsi="Cambria"/>
        </w:rPr>
        <w:t> » (« </w:t>
      </w:r>
      <w:r w:rsidRPr="00590F82">
        <w:rPr>
          <w:rFonts w:ascii="Cambria" w:hAnsi="Cambria"/>
          <w:i/>
        </w:rPr>
        <w:t>L'Allemagne soutient les familles, plus de places d'accueil pour les moins de trois ans</w:t>
      </w:r>
      <w:r>
        <w:rPr>
          <w:rFonts w:ascii="Cambria" w:hAnsi="Cambria"/>
        </w:rPr>
        <w:t xml:space="preserve"> », 12.07.2006). </w:t>
      </w:r>
      <w:r w:rsidRPr="00BB4078">
        <w:rPr>
          <w:rFonts w:ascii="Cambria" w:hAnsi="Cambria"/>
        </w:rPr>
        <w:t>http://www.bmfsfj.de/BMFSFJ/Service/Archiv/16-legislatur,did=80040.html</w:t>
      </w:r>
      <w:r>
        <w:rPr>
          <w:rFonts w:ascii="Cambria" w:hAnsi="Cambria"/>
        </w:rPr>
        <w:t>.</w:t>
      </w:r>
    </w:p>
  </w:footnote>
  <w:footnote w:id="17">
    <w:p w14:paraId="2C3498A9" w14:textId="77777777" w:rsidR="00711E98" w:rsidRDefault="00711E98" w:rsidP="00FF6BC6">
      <w:pPr>
        <w:pStyle w:val="Sansinterligne"/>
        <w:jc w:val="both"/>
      </w:pPr>
      <w:r w:rsidRPr="00E30500">
        <w:rPr>
          <w:rStyle w:val="Marquenotebasdepage"/>
          <w:rFonts w:ascii="Times New Roman" w:hAnsi="Times New Roman"/>
          <w:sz w:val="20"/>
          <w:szCs w:val="20"/>
        </w:rPr>
        <w:footnoteRef/>
      </w:r>
      <w:r w:rsidRPr="00E30500">
        <w:rPr>
          <w:rFonts w:ascii="Times New Roman" w:hAnsi="Times New Roman"/>
          <w:sz w:val="20"/>
          <w:szCs w:val="20"/>
        </w:rPr>
        <w:t xml:space="preserve"> </w:t>
      </w:r>
      <w:r w:rsidRPr="00FF6BC6">
        <w:rPr>
          <w:rFonts w:ascii="Cambria" w:hAnsi="Cambria"/>
          <w:sz w:val="20"/>
          <w:szCs w:val="20"/>
        </w:rPr>
        <w:t>Ces emplois sont en effet exonérés d'impôts et de cotisations salariales, tandis que les employeurs paient des cotisations forfaitaires à hauteur de 25%, ce qui rend ce type d'emplois trè</w:t>
      </w:r>
      <w:r>
        <w:rPr>
          <w:rFonts w:ascii="Cambria" w:hAnsi="Cambria"/>
          <w:sz w:val="20"/>
          <w:szCs w:val="20"/>
        </w:rPr>
        <w:t>s attractifs (</w:t>
      </w:r>
      <w:proofErr w:type="spellStart"/>
      <w:r>
        <w:rPr>
          <w:rFonts w:ascii="Cambria" w:hAnsi="Cambria"/>
          <w:sz w:val="20"/>
          <w:szCs w:val="20"/>
        </w:rPr>
        <w:t>Lestrade</w:t>
      </w:r>
      <w:proofErr w:type="spellEnd"/>
      <w:r>
        <w:rPr>
          <w:rFonts w:ascii="Cambria" w:hAnsi="Cambria"/>
          <w:sz w:val="20"/>
          <w:szCs w:val="20"/>
        </w:rPr>
        <w:t xml:space="preserve"> 2009). Fin</w:t>
      </w:r>
      <w:r w:rsidRPr="00FF6BC6">
        <w:rPr>
          <w:rFonts w:ascii="Cambria" w:hAnsi="Cambria"/>
          <w:sz w:val="20"/>
          <w:szCs w:val="20"/>
        </w:rPr>
        <w:t xml:space="preserve"> 201</w:t>
      </w:r>
      <w:r>
        <w:rPr>
          <w:rFonts w:ascii="Cambria" w:hAnsi="Cambria"/>
          <w:sz w:val="20"/>
          <w:szCs w:val="20"/>
        </w:rPr>
        <w:t>2</w:t>
      </w:r>
      <w:r w:rsidRPr="00FF6BC6">
        <w:rPr>
          <w:rFonts w:ascii="Cambria" w:hAnsi="Cambria"/>
          <w:sz w:val="20"/>
          <w:szCs w:val="20"/>
        </w:rPr>
        <w:t xml:space="preserve">, on dénombrait </w:t>
      </w:r>
      <w:r>
        <w:rPr>
          <w:rFonts w:ascii="Cambria" w:hAnsi="Cambria"/>
          <w:sz w:val="20"/>
          <w:szCs w:val="20"/>
        </w:rPr>
        <w:t>7,1</w:t>
      </w:r>
      <w:r w:rsidRPr="00FF6BC6">
        <w:rPr>
          <w:rFonts w:ascii="Cambria" w:hAnsi="Cambria"/>
          <w:sz w:val="20"/>
          <w:szCs w:val="20"/>
        </w:rPr>
        <w:t xml:space="preserve"> millions de mini-jobs en Allemagne</w:t>
      </w:r>
      <w:r>
        <w:rPr>
          <w:rFonts w:ascii="Cambria" w:hAnsi="Cambria"/>
          <w:sz w:val="20"/>
          <w:szCs w:val="20"/>
        </w:rPr>
        <w:t>, dont 63% sont détenus par des femmes</w:t>
      </w:r>
      <w:r w:rsidRPr="00FF6BC6">
        <w:rPr>
          <w:rFonts w:ascii="Cambria" w:hAnsi="Cambria"/>
          <w:sz w:val="20"/>
          <w:szCs w:val="20"/>
        </w:rPr>
        <w:t xml:space="preserve"> (</w:t>
      </w:r>
      <w:r>
        <w:rPr>
          <w:rFonts w:ascii="Cambria" w:hAnsi="Cambria"/>
          <w:sz w:val="20"/>
          <w:szCs w:val="20"/>
        </w:rPr>
        <w:t xml:space="preserve">www.minijob-zentrale.de, voir aussi </w:t>
      </w:r>
      <w:proofErr w:type="spellStart"/>
      <w:r w:rsidRPr="00FF6BC6">
        <w:rPr>
          <w:rFonts w:ascii="Cambria" w:hAnsi="Cambria"/>
          <w:sz w:val="20"/>
          <w:szCs w:val="20"/>
        </w:rPr>
        <w:t>Bundesagentur</w:t>
      </w:r>
      <w:proofErr w:type="spellEnd"/>
      <w:r w:rsidRPr="00FF6BC6">
        <w:rPr>
          <w:rFonts w:ascii="Cambria" w:hAnsi="Cambria"/>
          <w:sz w:val="20"/>
          <w:szCs w:val="20"/>
        </w:rPr>
        <w:t xml:space="preserve"> </w:t>
      </w:r>
      <w:proofErr w:type="spellStart"/>
      <w:r w:rsidRPr="00FF6BC6">
        <w:rPr>
          <w:rFonts w:ascii="Cambria" w:hAnsi="Cambria"/>
          <w:sz w:val="20"/>
          <w:szCs w:val="20"/>
        </w:rPr>
        <w:t>für</w:t>
      </w:r>
      <w:proofErr w:type="spellEnd"/>
      <w:r w:rsidRPr="00FF6BC6">
        <w:rPr>
          <w:rFonts w:ascii="Cambria" w:hAnsi="Cambria"/>
          <w:sz w:val="20"/>
          <w:szCs w:val="20"/>
        </w:rPr>
        <w:t xml:space="preserve"> </w:t>
      </w:r>
      <w:proofErr w:type="spellStart"/>
      <w:r w:rsidRPr="00FF6BC6">
        <w:rPr>
          <w:rFonts w:ascii="Cambria" w:hAnsi="Cambria"/>
          <w:sz w:val="20"/>
          <w:szCs w:val="20"/>
        </w:rPr>
        <w:t>Arbeit</w:t>
      </w:r>
      <w:proofErr w:type="spellEnd"/>
      <w:r w:rsidRPr="00FF6BC6">
        <w:rPr>
          <w:rFonts w:ascii="Cambria" w:hAnsi="Cambria"/>
          <w:sz w:val="20"/>
          <w:szCs w:val="20"/>
        </w:rPr>
        <w:t xml:space="preserve"> 2011).</w:t>
      </w:r>
    </w:p>
  </w:footnote>
  <w:footnote w:id="18">
    <w:p w14:paraId="78D1490F" w14:textId="77777777" w:rsidR="00711E98" w:rsidRDefault="00711E98" w:rsidP="00653BEE">
      <w:pPr>
        <w:pStyle w:val="Notedebasdepage"/>
        <w:jc w:val="both"/>
      </w:pPr>
      <w:r w:rsidRPr="00653BEE">
        <w:rPr>
          <w:rStyle w:val="Marquenotebasdepage"/>
          <w:rFonts w:ascii="Cambria" w:hAnsi="Cambria"/>
        </w:rPr>
        <w:footnoteRef/>
      </w:r>
      <w:r w:rsidRPr="00653BEE">
        <w:rPr>
          <w:rFonts w:ascii="Cambria" w:hAnsi="Cambria"/>
        </w:rPr>
        <w:t xml:space="preserve"> Comme il a été dit plus haut, il n'est pas possible de comparer les données avec les années antérieures à 2006, dans la mesure où le mode de recensement a changé (voir note 5). </w:t>
      </w:r>
    </w:p>
  </w:footnote>
  <w:footnote w:id="19">
    <w:p w14:paraId="0FECB119" w14:textId="77777777" w:rsidR="00711E98" w:rsidRDefault="00711E98" w:rsidP="00545D40">
      <w:pPr>
        <w:pStyle w:val="Notedebasdepage"/>
        <w:jc w:val="both"/>
      </w:pPr>
      <w:r>
        <w:rPr>
          <w:rStyle w:val="Marquenotebasdepage"/>
        </w:rPr>
        <w:footnoteRef/>
      </w:r>
      <w:r>
        <w:t xml:space="preserve"> </w:t>
      </w:r>
      <w:r w:rsidRPr="006C507F">
        <w:rPr>
          <w:rFonts w:ascii="Cambria" w:hAnsi="Cambria"/>
        </w:rPr>
        <w:t xml:space="preserve">Jusqu'en 2006, une place à temps </w:t>
      </w:r>
      <w:proofErr w:type="gramStart"/>
      <w:r w:rsidRPr="006C507F">
        <w:rPr>
          <w:rFonts w:ascii="Cambria" w:hAnsi="Cambria"/>
        </w:rPr>
        <w:t>plein</w:t>
      </w:r>
      <w:proofErr w:type="gramEnd"/>
      <w:r w:rsidRPr="006C507F">
        <w:rPr>
          <w:rFonts w:ascii="Cambria" w:hAnsi="Cambria"/>
        </w:rPr>
        <w:t xml:space="preserve"> correspondait à une place en journée</w:t>
      </w:r>
      <w:r>
        <w:rPr>
          <w:rFonts w:ascii="Cambria" w:hAnsi="Cambria"/>
        </w:rPr>
        <w:t xml:space="preserve"> (matin et après-midi)</w:t>
      </w:r>
      <w:r w:rsidRPr="006C507F">
        <w:rPr>
          <w:rFonts w:ascii="Cambria" w:hAnsi="Cambria"/>
        </w:rPr>
        <w:t>, car seule la distinction entre le matin, l'après-midi et la journée était opérée dans les statistiques. Depuis 2006, c'est le nombre d'heures de garde par jour ou par semaine qui est retenu. Une garde à temps plein correspond</w:t>
      </w:r>
      <w:r>
        <w:rPr>
          <w:rFonts w:ascii="Cambria" w:hAnsi="Cambria"/>
        </w:rPr>
        <w:t>,</w:t>
      </w:r>
      <w:r w:rsidRPr="006C507F">
        <w:rPr>
          <w:rFonts w:ascii="Cambria" w:hAnsi="Cambria"/>
        </w:rPr>
        <w:t xml:space="preserve"> depuis</w:t>
      </w:r>
      <w:r>
        <w:rPr>
          <w:rFonts w:ascii="Cambria" w:hAnsi="Cambria"/>
        </w:rPr>
        <w:t>,</w:t>
      </w:r>
      <w:r w:rsidRPr="006C507F">
        <w:rPr>
          <w:rFonts w:ascii="Cambria" w:hAnsi="Cambria"/>
        </w:rPr>
        <w:t xml:space="preserve"> à une prise en charge pour une durée minimale de 7 heures par jour (</w:t>
      </w:r>
      <w:proofErr w:type="spellStart"/>
      <w:r w:rsidRPr="006C507F">
        <w:rPr>
          <w:rFonts w:ascii="Cambria" w:hAnsi="Cambria"/>
        </w:rPr>
        <w:t>Kolvenbach</w:t>
      </w:r>
      <w:proofErr w:type="spellEnd"/>
      <w:r w:rsidRPr="006C507F">
        <w:rPr>
          <w:rFonts w:ascii="Cambria" w:hAnsi="Cambria"/>
        </w:rPr>
        <w:t xml:space="preserve">, </w:t>
      </w:r>
      <w:proofErr w:type="spellStart"/>
      <w:r w:rsidRPr="006C507F">
        <w:rPr>
          <w:rFonts w:ascii="Cambria" w:hAnsi="Cambria"/>
        </w:rPr>
        <w:t>Taubmann</w:t>
      </w:r>
      <w:proofErr w:type="spellEnd"/>
      <w:r w:rsidRPr="006C507F">
        <w:rPr>
          <w:rFonts w:ascii="Cambria" w:hAnsi="Cambria"/>
        </w:rPr>
        <w:t xml:space="preserve"> 2006)</w:t>
      </w:r>
      <w:r>
        <w:rPr>
          <w:rFonts w:ascii="Cambria" w:hAnsi="Cambria"/>
        </w:rPr>
        <w:t>.</w:t>
      </w:r>
    </w:p>
  </w:footnote>
  <w:footnote w:id="20">
    <w:p w14:paraId="0652CE3F" w14:textId="77777777" w:rsidR="00711E98" w:rsidRPr="00F90252" w:rsidRDefault="00711E98" w:rsidP="00C2012A">
      <w:pPr>
        <w:pStyle w:val="Notedebasdepage"/>
        <w:jc w:val="both"/>
      </w:pPr>
      <w:r>
        <w:rPr>
          <w:rStyle w:val="Marquenotebasdepage"/>
        </w:rPr>
        <w:footnoteRef/>
      </w:r>
      <w:r>
        <w:t xml:space="preserve"> </w:t>
      </w:r>
      <w:r w:rsidRPr="005138E7">
        <w:rPr>
          <w:rFonts w:ascii="Cambria" w:hAnsi="Cambria"/>
        </w:rPr>
        <w:t xml:space="preserve">Le taux préconisé de 33% des enfants de moins de trois ans accueillis en crèche ou chez une assistante maternelle est une moyenne. En Allemagne, avec la mise en place d'un congé parental d'un an assorti d'une allocation comparable à un </w:t>
      </w:r>
      <w:r w:rsidRPr="00461D91">
        <w:rPr>
          <w:rFonts w:ascii="Cambria" w:hAnsi="Cambria"/>
        </w:rPr>
        <w:t>salaire de remplacement, la prise en charge extérieure ne concerne que les enfants de un et deux ans. Leurs taux d'accueil respectifs s'élèvent à 28,4% (21% à l'ouest et 59% à l'est) et 51,1% (43% à l'ouest et 82% à l'est) (</w:t>
      </w:r>
      <w:proofErr w:type="spellStart"/>
      <w:r w:rsidRPr="00461D91">
        <w:rPr>
          <w:rFonts w:ascii="Cambria" w:hAnsi="Cambria"/>
        </w:rPr>
        <w:t>Statistische</w:t>
      </w:r>
      <w:proofErr w:type="spellEnd"/>
      <w:r w:rsidRPr="00F13557">
        <w:rPr>
          <w:rFonts w:ascii="Cambria" w:hAnsi="Cambria"/>
        </w:rPr>
        <w:t xml:space="preserve"> </w:t>
      </w:r>
      <w:proofErr w:type="spellStart"/>
      <w:r w:rsidRPr="00F13557">
        <w:rPr>
          <w:rFonts w:ascii="Cambria" w:hAnsi="Cambria"/>
        </w:rPr>
        <w:t>Ämter</w:t>
      </w:r>
      <w:proofErr w:type="spellEnd"/>
      <w:r w:rsidRPr="00F13557">
        <w:rPr>
          <w:rFonts w:ascii="Cambria" w:hAnsi="Cambria"/>
        </w:rPr>
        <w:t xml:space="preserve"> des </w:t>
      </w:r>
      <w:proofErr w:type="spellStart"/>
      <w:r w:rsidRPr="00F13557">
        <w:rPr>
          <w:rFonts w:ascii="Cambria" w:hAnsi="Cambria"/>
        </w:rPr>
        <w:t>Bundes</w:t>
      </w:r>
      <w:proofErr w:type="spellEnd"/>
      <w:r w:rsidRPr="00F13557">
        <w:rPr>
          <w:rFonts w:ascii="Cambria" w:hAnsi="Cambria"/>
        </w:rPr>
        <w:t xml:space="preserve"> </w:t>
      </w:r>
      <w:proofErr w:type="spellStart"/>
      <w:r w:rsidRPr="00F13557">
        <w:rPr>
          <w:rFonts w:ascii="Cambria" w:hAnsi="Cambria"/>
        </w:rPr>
        <w:t>und</w:t>
      </w:r>
      <w:proofErr w:type="spellEnd"/>
      <w:r w:rsidRPr="00F13557">
        <w:rPr>
          <w:rFonts w:ascii="Cambria" w:hAnsi="Cambria"/>
        </w:rPr>
        <w:t xml:space="preserve"> der Länder 2012).</w:t>
      </w:r>
      <w:r>
        <w:rPr>
          <w:rFonts w:ascii="Cambria" w:hAnsi="Cambria"/>
        </w:rPr>
        <w:t xml:space="preserve"> </w:t>
      </w:r>
      <w:r w:rsidRPr="002A4872">
        <w:rPr>
          <w:rFonts w:ascii="Cambria" w:hAnsi="Cambria"/>
        </w:rPr>
        <w:t xml:space="preserve">Voir </w:t>
      </w:r>
      <w:proofErr w:type="spellStart"/>
      <w:r w:rsidRPr="002A4872">
        <w:rPr>
          <w:rFonts w:ascii="Cambria" w:hAnsi="Cambria"/>
          <w:bCs/>
          <w:kern w:val="36"/>
          <w:lang w:eastAsia="fr-FR"/>
        </w:rPr>
        <w:t>Pressemitteilung</w:t>
      </w:r>
      <w:proofErr w:type="spellEnd"/>
      <w:r w:rsidRPr="002A4872">
        <w:rPr>
          <w:rFonts w:ascii="Cambria" w:hAnsi="Cambria"/>
          <w:bCs/>
          <w:kern w:val="36"/>
          <w:lang w:eastAsia="fr-FR"/>
        </w:rPr>
        <w:t xml:space="preserve"> Nr. 382 </w:t>
      </w:r>
      <w:proofErr w:type="spellStart"/>
      <w:r w:rsidRPr="002A4872">
        <w:rPr>
          <w:rFonts w:ascii="Cambria" w:hAnsi="Cambria"/>
          <w:bCs/>
          <w:kern w:val="36"/>
          <w:lang w:eastAsia="fr-FR"/>
        </w:rPr>
        <w:t>vom</w:t>
      </w:r>
      <w:proofErr w:type="spellEnd"/>
      <w:r w:rsidRPr="002A4872">
        <w:rPr>
          <w:rFonts w:ascii="Cambria" w:hAnsi="Cambria"/>
          <w:bCs/>
          <w:kern w:val="36"/>
          <w:lang w:eastAsia="fr-FR"/>
        </w:rPr>
        <w:t xml:space="preserve"> 06.11.2012: « 27,6 % der </w:t>
      </w:r>
      <w:proofErr w:type="spellStart"/>
      <w:r w:rsidRPr="002A4872">
        <w:rPr>
          <w:rFonts w:ascii="Cambria" w:hAnsi="Cambria"/>
          <w:bCs/>
          <w:kern w:val="36"/>
          <w:lang w:eastAsia="fr-FR"/>
        </w:rPr>
        <w:t>unter</w:t>
      </w:r>
      <w:proofErr w:type="spellEnd"/>
      <w:r w:rsidRPr="002A4872">
        <w:rPr>
          <w:rFonts w:ascii="Cambria" w:hAnsi="Cambria"/>
          <w:bCs/>
          <w:kern w:val="36"/>
          <w:lang w:eastAsia="fr-FR"/>
        </w:rPr>
        <w:t xml:space="preserve"> 3-Jährigen </w:t>
      </w:r>
      <w:proofErr w:type="spellStart"/>
      <w:r w:rsidRPr="002A4872">
        <w:rPr>
          <w:rFonts w:ascii="Cambria" w:hAnsi="Cambria"/>
          <w:bCs/>
          <w:kern w:val="36"/>
          <w:lang w:eastAsia="fr-FR"/>
        </w:rPr>
        <w:t>zum</w:t>
      </w:r>
      <w:proofErr w:type="spellEnd"/>
      <w:r w:rsidRPr="002A4872">
        <w:rPr>
          <w:rFonts w:ascii="Cambria" w:hAnsi="Cambria"/>
          <w:bCs/>
          <w:kern w:val="36"/>
          <w:lang w:eastAsia="fr-FR"/>
        </w:rPr>
        <w:t xml:space="preserve"> 1. </w:t>
      </w:r>
      <w:proofErr w:type="spellStart"/>
      <w:r w:rsidRPr="00F90252">
        <w:rPr>
          <w:rFonts w:ascii="Cambria" w:hAnsi="Cambria"/>
          <w:bCs/>
          <w:kern w:val="36"/>
          <w:lang w:eastAsia="fr-FR"/>
        </w:rPr>
        <w:t>März</w:t>
      </w:r>
      <w:proofErr w:type="spellEnd"/>
      <w:r w:rsidRPr="00F90252">
        <w:rPr>
          <w:rFonts w:ascii="Cambria" w:hAnsi="Cambria"/>
          <w:bCs/>
          <w:kern w:val="36"/>
          <w:lang w:eastAsia="fr-FR"/>
        </w:rPr>
        <w:t xml:space="preserve"> 2012 in </w:t>
      </w:r>
      <w:proofErr w:type="spellStart"/>
      <w:r w:rsidRPr="00F90252">
        <w:rPr>
          <w:rFonts w:ascii="Cambria" w:hAnsi="Cambria"/>
          <w:bCs/>
          <w:kern w:val="36"/>
          <w:lang w:eastAsia="fr-FR"/>
        </w:rPr>
        <w:t>Kindertagesbetreuung</w:t>
      </w:r>
      <w:proofErr w:type="spellEnd"/>
      <w:r w:rsidRPr="00F90252">
        <w:rPr>
          <w:rFonts w:ascii="Cambria" w:hAnsi="Cambria"/>
          <w:bCs/>
          <w:kern w:val="36"/>
          <w:lang w:eastAsia="fr-FR"/>
        </w:rPr>
        <w:t xml:space="preserve"> – 220 000 </w:t>
      </w:r>
      <w:proofErr w:type="spellStart"/>
      <w:r w:rsidRPr="00F90252">
        <w:rPr>
          <w:rFonts w:ascii="Cambria" w:hAnsi="Cambria"/>
          <w:bCs/>
          <w:kern w:val="36"/>
          <w:lang w:eastAsia="fr-FR"/>
        </w:rPr>
        <w:t>Plätze</w:t>
      </w:r>
      <w:proofErr w:type="spellEnd"/>
      <w:r w:rsidRPr="00F90252">
        <w:rPr>
          <w:rFonts w:ascii="Cambria" w:hAnsi="Cambria"/>
          <w:bCs/>
          <w:kern w:val="36"/>
          <w:lang w:eastAsia="fr-FR"/>
        </w:rPr>
        <w:t xml:space="preserve"> </w:t>
      </w:r>
      <w:proofErr w:type="spellStart"/>
      <w:r w:rsidRPr="00F90252">
        <w:rPr>
          <w:rFonts w:ascii="Cambria" w:hAnsi="Cambria"/>
          <w:bCs/>
          <w:kern w:val="36"/>
          <w:lang w:eastAsia="fr-FR"/>
        </w:rPr>
        <w:t>fehlen</w:t>
      </w:r>
      <w:proofErr w:type="spellEnd"/>
      <w:r w:rsidRPr="00F90252">
        <w:rPr>
          <w:rFonts w:ascii="Cambria" w:hAnsi="Cambria"/>
          <w:bCs/>
          <w:kern w:val="36"/>
          <w:lang w:eastAsia="fr-FR"/>
        </w:rPr>
        <w:t xml:space="preserve"> </w:t>
      </w:r>
      <w:proofErr w:type="spellStart"/>
      <w:r w:rsidRPr="00F90252">
        <w:rPr>
          <w:rFonts w:ascii="Cambria" w:hAnsi="Cambria"/>
          <w:bCs/>
          <w:kern w:val="36"/>
          <w:lang w:eastAsia="fr-FR"/>
        </w:rPr>
        <w:t>noch</w:t>
      </w:r>
      <w:proofErr w:type="spellEnd"/>
      <w:r w:rsidRPr="00F90252">
        <w:rPr>
          <w:rFonts w:ascii="Cambria" w:hAnsi="Cambria"/>
          <w:bCs/>
          <w:kern w:val="36"/>
          <w:lang w:eastAsia="fr-FR"/>
        </w:rPr>
        <w:t> » (« 27,6% des enfants de moins de trois ans pris en charge en crèche ou chez une assistante maternelle au premier mars 2012</w:t>
      </w:r>
      <w:r>
        <w:rPr>
          <w:rFonts w:ascii="Cambria" w:hAnsi="Cambria"/>
          <w:bCs/>
          <w:kern w:val="36"/>
          <w:lang w:eastAsia="fr-FR"/>
        </w:rPr>
        <w:t xml:space="preserve"> - il manque encore 220 000 places d'accueil »)</w:t>
      </w:r>
      <w:r w:rsidRPr="00F90252">
        <w:rPr>
          <w:rFonts w:ascii="Cambria" w:hAnsi="Cambria"/>
          <w:bCs/>
          <w:kern w:val="36"/>
          <w:lang w:eastAsia="fr-FR"/>
        </w:rPr>
        <w:t>.</w:t>
      </w:r>
    </w:p>
  </w:footnote>
  <w:footnote w:id="21">
    <w:p w14:paraId="31BF0946" w14:textId="77777777" w:rsidR="00711E98" w:rsidRDefault="00711E98" w:rsidP="006D27F4">
      <w:pPr>
        <w:pStyle w:val="Notedebasdepage"/>
        <w:jc w:val="both"/>
      </w:pPr>
      <w:r>
        <w:rPr>
          <w:rStyle w:val="Marquenotebasdepage"/>
        </w:rPr>
        <w:footnoteRef/>
      </w:r>
      <w:r>
        <w:t xml:space="preserve"> </w:t>
      </w:r>
      <w:r w:rsidRPr="006D27F4">
        <w:rPr>
          <w:rFonts w:ascii="Cambria" w:hAnsi="Cambria"/>
        </w:rPr>
        <w:t xml:space="preserve">Le </w:t>
      </w:r>
      <w:r w:rsidRPr="00461D91">
        <w:rPr>
          <w:rFonts w:ascii="Cambria" w:hAnsi="Cambria"/>
        </w:rPr>
        <w:t>taux de 27,8% regroupe</w:t>
      </w:r>
      <w:r w:rsidRPr="006D27F4">
        <w:rPr>
          <w:rFonts w:ascii="Cambria" w:hAnsi="Cambria"/>
        </w:rPr>
        <w:t xml:space="preserve"> tous les enfants pris en charge par une assistante maternelle ou une crèche dès lors que celle-ci est ouverte pour une durée minimale de 10h par semaine et qu’au moins 5 enfants sont accueillis pour une durée minimale de 10h par semaine.</w:t>
      </w:r>
    </w:p>
  </w:footnote>
  <w:footnote w:id="22">
    <w:p w14:paraId="08D399BA" w14:textId="77777777" w:rsidR="00711E98" w:rsidRDefault="00711E98">
      <w:pPr>
        <w:pStyle w:val="Notedebasdepage"/>
      </w:pPr>
      <w:r w:rsidRPr="009A5C8D">
        <w:rPr>
          <w:rStyle w:val="Marquenotebasdepage"/>
          <w:rFonts w:ascii="Cambria" w:hAnsi="Cambria"/>
        </w:rPr>
        <w:footnoteRef/>
      </w:r>
      <w:r w:rsidRPr="009A5C8D">
        <w:rPr>
          <w:rFonts w:ascii="Cambria" w:hAnsi="Cambria"/>
        </w:rPr>
        <w:t xml:space="preserve"> Données communiquées par l'Office fédéral des statistiques.</w:t>
      </w:r>
    </w:p>
  </w:footnote>
  <w:footnote w:id="23">
    <w:p w14:paraId="38BD1923" w14:textId="77777777" w:rsidR="00711E98" w:rsidRPr="00A85A4D" w:rsidRDefault="00711E98" w:rsidP="00A85A4D">
      <w:pPr>
        <w:pStyle w:val="Notedebasdepage"/>
        <w:jc w:val="both"/>
        <w:rPr>
          <w:rFonts w:asciiTheme="majorHAnsi" w:hAnsiTheme="majorHAnsi"/>
        </w:rPr>
      </w:pPr>
      <w:r w:rsidRPr="00A85A4D">
        <w:rPr>
          <w:rStyle w:val="Marquenotebasdepage"/>
          <w:rFonts w:asciiTheme="majorHAnsi" w:hAnsiTheme="majorHAnsi"/>
        </w:rPr>
        <w:footnoteRef/>
      </w:r>
      <w:r w:rsidRPr="00A85A4D">
        <w:rPr>
          <w:rFonts w:asciiTheme="majorHAnsi" w:hAnsiTheme="majorHAnsi"/>
        </w:rPr>
        <w:t xml:space="preserve"> Le temps de travail hebdomadaire est comparativement faible en Allemagne: il s'élevait à 18,5 heures pour les femmes travaillant à temps partiel en 2011, contre une durée moyenne de 20,2 heures en Europe (23,4 heures en France) (données Eurostat 2012: http://epp.eurostat.ec.europa.eu).</w:t>
      </w:r>
    </w:p>
  </w:footnote>
  <w:footnote w:id="24">
    <w:p w14:paraId="497A1FC4" w14:textId="77777777" w:rsidR="00711E98" w:rsidRPr="005140A2" w:rsidRDefault="00711E98" w:rsidP="005140A2">
      <w:pPr>
        <w:pStyle w:val="Notedebasdepage"/>
        <w:jc w:val="both"/>
        <w:rPr>
          <w:rFonts w:asciiTheme="majorHAnsi" w:hAnsiTheme="majorHAnsi"/>
        </w:rPr>
      </w:pPr>
      <w:r w:rsidRPr="005140A2">
        <w:rPr>
          <w:rStyle w:val="Marquenotebasdepage"/>
          <w:rFonts w:asciiTheme="majorHAnsi" w:hAnsiTheme="majorHAnsi"/>
        </w:rPr>
        <w:footnoteRef/>
      </w:r>
      <w:r w:rsidRPr="005140A2">
        <w:rPr>
          <w:rFonts w:asciiTheme="majorHAnsi" w:hAnsiTheme="majorHAnsi"/>
        </w:rPr>
        <w:t xml:space="preserve"> </w:t>
      </w:r>
      <w:r>
        <w:rPr>
          <w:rFonts w:asciiTheme="majorHAnsi" w:hAnsiTheme="majorHAnsi"/>
        </w:rPr>
        <w:t xml:space="preserve">Julia </w:t>
      </w:r>
      <w:proofErr w:type="spellStart"/>
      <w:r>
        <w:rPr>
          <w:rFonts w:asciiTheme="majorHAnsi" w:hAnsiTheme="majorHAnsi"/>
        </w:rPr>
        <w:t>Weinmann</w:t>
      </w:r>
      <w:proofErr w:type="spellEnd"/>
      <w:r>
        <w:rPr>
          <w:rFonts w:asciiTheme="majorHAnsi" w:hAnsiTheme="majorHAnsi"/>
        </w:rPr>
        <w:t xml:space="preserve">: </w:t>
      </w:r>
      <w:r w:rsidRPr="005140A2">
        <w:rPr>
          <w:rFonts w:asciiTheme="majorHAnsi" w:hAnsiTheme="majorHAnsi"/>
        </w:rPr>
        <w:t>« </w:t>
      </w:r>
      <w:proofErr w:type="spellStart"/>
      <w:r w:rsidRPr="005140A2">
        <w:rPr>
          <w:rFonts w:asciiTheme="majorHAnsi" w:hAnsiTheme="majorHAnsi"/>
        </w:rPr>
        <w:t>Kind</w:t>
      </w:r>
      <w:proofErr w:type="spellEnd"/>
      <w:r w:rsidRPr="005140A2">
        <w:rPr>
          <w:rFonts w:asciiTheme="majorHAnsi" w:hAnsiTheme="majorHAnsi"/>
        </w:rPr>
        <w:t xml:space="preserve"> </w:t>
      </w:r>
      <w:proofErr w:type="spellStart"/>
      <w:r w:rsidRPr="005140A2">
        <w:rPr>
          <w:rFonts w:asciiTheme="majorHAnsi" w:hAnsiTheme="majorHAnsi"/>
        </w:rPr>
        <w:t>und</w:t>
      </w:r>
      <w:proofErr w:type="spellEnd"/>
      <w:r w:rsidRPr="005140A2">
        <w:rPr>
          <w:rFonts w:asciiTheme="majorHAnsi" w:hAnsiTheme="majorHAnsi"/>
        </w:rPr>
        <w:t xml:space="preserve"> </w:t>
      </w:r>
      <w:proofErr w:type="spellStart"/>
      <w:r w:rsidRPr="005140A2">
        <w:rPr>
          <w:rFonts w:asciiTheme="majorHAnsi" w:hAnsiTheme="majorHAnsi"/>
        </w:rPr>
        <w:t>Beruf</w:t>
      </w:r>
      <w:proofErr w:type="spellEnd"/>
      <w:r w:rsidRPr="005140A2">
        <w:rPr>
          <w:rFonts w:asciiTheme="majorHAnsi" w:hAnsiTheme="majorHAnsi"/>
        </w:rPr>
        <w:t xml:space="preserve">: </w:t>
      </w:r>
      <w:proofErr w:type="spellStart"/>
      <w:r w:rsidRPr="005140A2">
        <w:rPr>
          <w:rFonts w:asciiTheme="majorHAnsi" w:hAnsiTheme="majorHAnsi"/>
        </w:rPr>
        <w:t>nicht</w:t>
      </w:r>
      <w:proofErr w:type="spellEnd"/>
      <w:r w:rsidRPr="005140A2">
        <w:rPr>
          <w:rFonts w:asciiTheme="majorHAnsi" w:hAnsiTheme="majorHAnsi"/>
        </w:rPr>
        <w:t xml:space="preserve"> </w:t>
      </w:r>
      <w:proofErr w:type="spellStart"/>
      <w:r w:rsidRPr="005140A2">
        <w:rPr>
          <w:rFonts w:asciiTheme="majorHAnsi" w:hAnsiTheme="majorHAnsi"/>
        </w:rPr>
        <w:t>alle</w:t>
      </w:r>
      <w:proofErr w:type="spellEnd"/>
      <w:r w:rsidRPr="005140A2">
        <w:rPr>
          <w:rFonts w:asciiTheme="majorHAnsi" w:hAnsiTheme="majorHAnsi"/>
        </w:rPr>
        <w:t xml:space="preserve"> </w:t>
      </w:r>
      <w:proofErr w:type="spellStart"/>
      <w:r w:rsidRPr="005140A2">
        <w:rPr>
          <w:rFonts w:asciiTheme="majorHAnsi" w:hAnsiTheme="majorHAnsi"/>
        </w:rPr>
        <w:t>Mütter</w:t>
      </w:r>
      <w:proofErr w:type="spellEnd"/>
      <w:r w:rsidRPr="005140A2">
        <w:rPr>
          <w:rFonts w:asciiTheme="majorHAnsi" w:hAnsiTheme="majorHAnsi"/>
        </w:rPr>
        <w:t xml:space="preserve"> </w:t>
      </w:r>
      <w:proofErr w:type="spellStart"/>
      <w:r w:rsidRPr="005140A2">
        <w:rPr>
          <w:rFonts w:asciiTheme="majorHAnsi" w:hAnsiTheme="majorHAnsi"/>
        </w:rPr>
        <w:t>wollen</w:t>
      </w:r>
      <w:proofErr w:type="spellEnd"/>
      <w:r w:rsidRPr="005140A2">
        <w:rPr>
          <w:rFonts w:asciiTheme="majorHAnsi" w:hAnsiTheme="majorHAnsi"/>
        </w:rPr>
        <w:t xml:space="preserve"> </w:t>
      </w:r>
      <w:proofErr w:type="spellStart"/>
      <w:r w:rsidRPr="005140A2">
        <w:rPr>
          <w:rFonts w:asciiTheme="majorHAnsi" w:hAnsiTheme="majorHAnsi"/>
        </w:rPr>
        <w:t>beides</w:t>
      </w:r>
      <w:proofErr w:type="spellEnd"/>
      <w:r w:rsidRPr="005140A2">
        <w:rPr>
          <w:rFonts w:asciiTheme="majorHAnsi" w:hAnsiTheme="majorHAnsi"/>
        </w:rPr>
        <w:t xml:space="preserve"> » (« toutes les mères ne souhaitent pas concilier travail et famille »), 26.02.2013, www.destatis.de. </w:t>
      </w:r>
    </w:p>
  </w:footnote>
  <w:footnote w:id="25">
    <w:p w14:paraId="6D218A0D" w14:textId="77777777" w:rsidR="00711E98" w:rsidRPr="00FC1550" w:rsidRDefault="00711E98" w:rsidP="00FC1550">
      <w:pPr>
        <w:pStyle w:val="Notedebasdepage"/>
        <w:jc w:val="both"/>
        <w:rPr>
          <w:rFonts w:asciiTheme="majorHAnsi" w:hAnsiTheme="majorHAnsi"/>
        </w:rPr>
      </w:pPr>
      <w:r w:rsidRPr="00FC1550">
        <w:rPr>
          <w:rStyle w:val="Marquenotebasdepage"/>
          <w:rFonts w:asciiTheme="majorHAnsi" w:hAnsiTheme="majorHAnsi"/>
        </w:rPr>
        <w:footnoteRef/>
      </w:r>
      <w:r w:rsidRPr="00FC1550">
        <w:rPr>
          <w:rFonts w:asciiTheme="majorHAnsi" w:hAnsiTheme="majorHAnsi"/>
        </w:rPr>
        <w:t xml:space="preserve"> </w:t>
      </w:r>
      <w:proofErr w:type="spellStart"/>
      <w:r w:rsidRPr="00FC1550">
        <w:rPr>
          <w:rFonts w:asciiTheme="majorHAnsi" w:hAnsiTheme="majorHAnsi"/>
        </w:rPr>
        <w:t>Letablier</w:t>
      </w:r>
      <w:proofErr w:type="spellEnd"/>
      <w:r w:rsidRPr="00FC1550">
        <w:rPr>
          <w:rFonts w:asciiTheme="majorHAnsi" w:hAnsiTheme="majorHAnsi"/>
        </w:rPr>
        <w:t xml:space="preserve"> Marie-Thérèse, 2011, « Politiques familiales en Europe. Peut-on parler d’Européanisation? » Présentation dans le cadre du Mas</w:t>
      </w:r>
      <w:r>
        <w:rPr>
          <w:rFonts w:asciiTheme="majorHAnsi" w:hAnsiTheme="majorHAnsi"/>
        </w:rPr>
        <w:t>ter de l'Université Marc Bloch -</w:t>
      </w:r>
      <w:r w:rsidRPr="00FC1550">
        <w:rPr>
          <w:rFonts w:asciiTheme="majorHAnsi" w:hAnsiTheme="majorHAnsi"/>
        </w:rPr>
        <w:t xml:space="preserve"> Strasbourg</w:t>
      </w:r>
      <w:r>
        <w:rPr>
          <w:rFonts w:asciiTheme="majorHAnsi" w:hAnsiTheme="majorHAnsi"/>
        </w:rPr>
        <w:t xml:space="preserve"> II</w:t>
      </w:r>
      <w:r w:rsidRPr="00FC1550">
        <w:rPr>
          <w:rFonts w:asciiTheme="majorHAnsi" w:hAnsiTheme="majorHAnsi"/>
        </w:rPr>
        <w:t>.</w:t>
      </w:r>
    </w:p>
  </w:footnote>
  <w:footnote w:id="26">
    <w:p w14:paraId="3ABA0B7C" w14:textId="77777777" w:rsidR="00711E98" w:rsidRPr="004A4147" w:rsidRDefault="00711E98" w:rsidP="004A4147">
      <w:pPr>
        <w:pStyle w:val="Notedebasdepage"/>
        <w:jc w:val="both"/>
        <w:rPr>
          <w:rFonts w:asciiTheme="majorHAnsi" w:hAnsiTheme="majorHAnsi"/>
        </w:rPr>
      </w:pPr>
      <w:r w:rsidRPr="004A4147">
        <w:rPr>
          <w:rStyle w:val="Marquenotebasdepage"/>
          <w:rFonts w:asciiTheme="majorHAnsi" w:hAnsiTheme="majorHAnsi"/>
        </w:rPr>
        <w:footnoteRef/>
      </w:r>
      <w:r w:rsidRPr="004A4147">
        <w:rPr>
          <w:rFonts w:asciiTheme="majorHAnsi" w:hAnsiTheme="majorHAnsi"/>
        </w:rPr>
        <w:t xml:space="preserve"> La stratégie Europe 2020 recommande un accueil de la moitié des enfants de moins de trois ans et de la totalité des enfants âgés de 3 à 6 ans. En revanche, elle n'indique plus de taux d'emploi féminin, mais simplement un taux d'emploi global de 75%.</w:t>
      </w:r>
    </w:p>
  </w:footnote>
  <w:footnote w:id="27">
    <w:p w14:paraId="0E576A25" w14:textId="77777777" w:rsidR="00711E98" w:rsidRPr="005337EF" w:rsidRDefault="00711E98" w:rsidP="005337EF">
      <w:pPr>
        <w:pStyle w:val="Notedebasdepage"/>
        <w:jc w:val="both"/>
        <w:rPr>
          <w:rFonts w:asciiTheme="majorHAnsi" w:hAnsiTheme="majorHAnsi"/>
        </w:rPr>
      </w:pPr>
      <w:r w:rsidRPr="005337EF">
        <w:rPr>
          <w:rStyle w:val="Marquenotebasdepage"/>
          <w:rFonts w:asciiTheme="majorHAnsi" w:hAnsiTheme="majorHAnsi"/>
        </w:rPr>
        <w:footnoteRef/>
      </w:r>
      <w:r w:rsidRPr="005337EF">
        <w:rPr>
          <w:rFonts w:asciiTheme="majorHAnsi" w:hAnsiTheme="majorHAnsi"/>
        </w:rPr>
        <w:t xml:space="preserve"> Marie-Pierre Hamel (2013) constate un plus grand impact des politiques européennes dès lors qu'il y a influence réciproque entre les institutions communautaires et nationales.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E79"/>
    <w:multiLevelType w:val="hybridMultilevel"/>
    <w:tmpl w:val="05B090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257FC"/>
    <w:multiLevelType w:val="hybridMultilevel"/>
    <w:tmpl w:val="2CDE93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2162CF"/>
    <w:multiLevelType w:val="hybridMultilevel"/>
    <w:tmpl w:val="C15EA7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5D480E"/>
    <w:multiLevelType w:val="hybridMultilevel"/>
    <w:tmpl w:val="2E4215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A57C0A"/>
    <w:multiLevelType w:val="hybridMultilevel"/>
    <w:tmpl w:val="DFA6A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16092F"/>
    <w:multiLevelType w:val="hybridMultilevel"/>
    <w:tmpl w:val="FC6077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400E2A"/>
    <w:multiLevelType w:val="hybridMultilevel"/>
    <w:tmpl w:val="2292C24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89"/>
    <w:rsid w:val="00000DA9"/>
    <w:rsid w:val="00001AB1"/>
    <w:rsid w:val="00007D0B"/>
    <w:rsid w:val="00012ADE"/>
    <w:rsid w:val="0001684A"/>
    <w:rsid w:val="00017EAC"/>
    <w:rsid w:val="0003790F"/>
    <w:rsid w:val="0005667D"/>
    <w:rsid w:val="0005767E"/>
    <w:rsid w:val="00064901"/>
    <w:rsid w:val="00066739"/>
    <w:rsid w:val="00074CDB"/>
    <w:rsid w:val="00083E9F"/>
    <w:rsid w:val="000A6D3E"/>
    <w:rsid w:val="000A7B1F"/>
    <w:rsid w:val="000B3F48"/>
    <w:rsid w:val="000B4807"/>
    <w:rsid w:val="000B4B40"/>
    <w:rsid w:val="000B6C3C"/>
    <w:rsid w:val="000D5225"/>
    <w:rsid w:val="000E1004"/>
    <w:rsid w:val="000E79E9"/>
    <w:rsid w:val="000F101C"/>
    <w:rsid w:val="000F682A"/>
    <w:rsid w:val="00103525"/>
    <w:rsid w:val="00107BA9"/>
    <w:rsid w:val="0011030C"/>
    <w:rsid w:val="00116C45"/>
    <w:rsid w:val="001223FE"/>
    <w:rsid w:val="00136274"/>
    <w:rsid w:val="001409E4"/>
    <w:rsid w:val="00144A6C"/>
    <w:rsid w:val="00147B23"/>
    <w:rsid w:val="00162B47"/>
    <w:rsid w:val="001718CB"/>
    <w:rsid w:val="001747C7"/>
    <w:rsid w:val="001A269E"/>
    <w:rsid w:val="001A6BD8"/>
    <w:rsid w:val="001A71E2"/>
    <w:rsid w:val="001B14E6"/>
    <w:rsid w:val="001C5D66"/>
    <w:rsid w:val="001E156D"/>
    <w:rsid w:val="001E1BAC"/>
    <w:rsid w:val="001E672D"/>
    <w:rsid w:val="002011DB"/>
    <w:rsid w:val="00201E8D"/>
    <w:rsid w:val="00202D22"/>
    <w:rsid w:val="00206453"/>
    <w:rsid w:val="00213425"/>
    <w:rsid w:val="0021550A"/>
    <w:rsid w:val="00224477"/>
    <w:rsid w:val="00224873"/>
    <w:rsid w:val="00230D86"/>
    <w:rsid w:val="00237DC5"/>
    <w:rsid w:val="002439B7"/>
    <w:rsid w:val="00255950"/>
    <w:rsid w:val="00261387"/>
    <w:rsid w:val="002672BC"/>
    <w:rsid w:val="00272AB1"/>
    <w:rsid w:val="00284EB0"/>
    <w:rsid w:val="002915E2"/>
    <w:rsid w:val="00292E39"/>
    <w:rsid w:val="00294974"/>
    <w:rsid w:val="002A4541"/>
    <w:rsid w:val="002A4872"/>
    <w:rsid w:val="002A6D41"/>
    <w:rsid w:val="002B384F"/>
    <w:rsid w:val="002C0E77"/>
    <w:rsid w:val="002E143A"/>
    <w:rsid w:val="002F09C6"/>
    <w:rsid w:val="002F2486"/>
    <w:rsid w:val="002F4E5C"/>
    <w:rsid w:val="002F6770"/>
    <w:rsid w:val="002F6DC2"/>
    <w:rsid w:val="00301906"/>
    <w:rsid w:val="00306A88"/>
    <w:rsid w:val="003178DF"/>
    <w:rsid w:val="00360458"/>
    <w:rsid w:val="00365898"/>
    <w:rsid w:val="00374D57"/>
    <w:rsid w:val="00391511"/>
    <w:rsid w:val="00394602"/>
    <w:rsid w:val="003A47BA"/>
    <w:rsid w:val="003B5D11"/>
    <w:rsid w:val="003C056A"/>
    <w:rsid w:val="003C1F01"/>
    <w:rsid w:val="003C230B"/>
    <w:rsid w:val="003C2A29"/>
    <w:rsid w:val="003C5D13"/>
    <w:rsid w:val="003E5626"/>
    <w:rsid w:val="003E7276"/>
    <w:rsid w:val="003F1A7A"/>
    <w:rsid w:val="003F70FF"/>
    <w:rsid w:val="004114D9"/>
    <w:rsid w:val="004223EC"/>
    <w:rsid w:val="004270CB"/>
    <w:rsid w:val="004306C0"/>
    <w:rsid w:val="004405AF"/>
    <w:rsid w:val="00447782"/>
    <w:rsid w:val="00451655"/>
    <w:rsid w:val="004577A6"/>
    <w:rsid w:val="00461D91"/>
    <w:rsid w:val="00467065"/>
    <w:rsid w:val="0046727E"/>
    <w:rsid w:val="00470F27"/>
    <w:rsid w:val="0047407E"/>
    <w:rsid w:val="0047557B"/>
    <w:rsid w:val="004806BB"/>
    <w:rsid w:val="00481C2F"/>
    <w:rsid w:val="00482E4E"/>
    <w:rsid w:val="004A37CE"/>
    <w:rsid w:val="004A4147"/>
    <w:rsid w:val="004B15EA"/>
    <w:rsid w:val="004C426D"/>
    <w:rsid w:val="004D19EE"/>
    <w:rsid w:val="004D2118"/>
    <w:rsid w:val="004E1884"/>
    <w:rsid w:val="005022A5"/>
    <w:rsid w:val="00504410"/>
    <w:rsid w:val="00512720"/>
    <w:rsid w:val="00513529"/>
    <w:rsid w:val="005138E7"/>
    <w:rsid w:val="005140A2"/>
    <w:rsid w:val="0051412A"/>
    <w:rsid w:val="00527E2F"/>
    <w:rsid w:val="005337EF"/>
    <w:rsid w:val="00545D40"/>
    <w:rsid w:val="00565C8A"/>
    <w:rsid w:val="0056751C"/>
    <w:rsid w:val="00590F82"/>
    <w:rsid w:val="005A5BA6"/>
    <w:rsid w:val="005B2089"/>
    <w:rsid w:val="005C25A1"/>
    <w:rsid w:val="005D27AB"/>
    <w:rsid w:val="005E1471"/>
    <w:rsid w:val="005F33F2"/>
    <w:rsid w:val="006164DB"/>
    <w:rsid w:val="00617058"/>
    <w:rsid w:val="0061727C"/>
    <w:rsid w:val="00621AA1"/>
    <w:rsid w:val="0062316F"/>
    <w:rsid w:val="00653040"/>
    <w:rsid w:val="00653BEE"/>
    <w:rsid w:val="006734BB"/>
    <w:rsid w:val="00685CE3"/>
    <w:rsid w:val="00694D6A"/>
    <w:rsid w:val="00695C49"/>
    <w:rsid w:val="00695E23"/>
    <w:rsid w:val="006975D1"/>
    <w:rsid w:val="006A1FA1"/>
    <w:rsid w:val="006B4C3A"/>
    <w:rsid w:val="006C2438"/>
    <w:rsid w:val="006C507F"/>
    <w:rsid w:val="006D234E"/>
    <w:rsid w:val="006D27F4"/>
    <w:rsid w:val="006D3F6E"/>
    <w:rsid w:val="006D778B"/>
    <w:rsid w:val="006E3A69"/>
    <w:rsid w:val="006E7159"/>
    <w:rsid w:val="006F4093"/>
    <w:rsid w:val="00706E9B"/>
    <w:rsid w:val="00711E98"/>
    <w:rsid w:val="00720ADE"/>
    <w:rsid w:val="007271D9"/>
    <w:rsid w:val="00727EFE"/>
    <w:rsid w:val="007307FB"/>
    <w:rsid w:val="00733968"/>
    <w:rsid w:val="00750C97"/>
    <w:rsid w:val="0075331F"/>
    <w:rsid w:val="00757389"/>
    <w:rsid w:val="00767556"/>
    <w:rsid w:val="00772084"/>
    <w:rsid w:val="00785BE7"/>
    <w:rsid w:val="007904BF"/>
    <w:rsid w:val="0079070B"/>
    <w:rsid w:val="00793B4E"/>
    <w:rsid w:val="0079791F"/>
    <w:rsid w:val="007A128F"/>
    <w:rsid w:val="007B0B0D"/>
    <w:rsid w:val="007C12AB"/>
    <w:rsid w:val="007C6D46"/>
    <w:rsid w:val="007C745B"/>
    <w:rsid w:val="007D2DC2"/>
    <w:rsid w:val="007E03B3"/>
    <w:rsid w:val="007E0954"/>
    <w:rsid w:val="007F1984"/>
    <w:rsid w:val="007F235E"/>
    <w:rsid w:val="007F28E1"/>
    <w:rsid w:val="007F3C6D"/>
    <w:rsid w:val="007F7AE7"/>
    <w:rsid w:val="00807EDA"/>
    <w:rsid w:val="008426FE"/>
    <w:rsid w:val="00851B84"/>
    <w:rsid w:val="0085697E"/>
    <w:rsid w:val="00877B00"/>
    <w:rsid w:val="00885DBA"/>
    <w:rsid w:val="00886DF9"/>
    <w:rsid w:val="0089084A"/>
    <w:rsid w:val="008913BB"/>
    <w:rsid w:val="008934D6"/>
    <w:rsid w:val="008937DD"/>
    <w:rsid w:val="008961AC"/>
    <w:rsid w:val="008A320E"/>
    <w:rsid w:val="008B2860"/>
    <w:rsid w:val="008B67BE"/>
    <w:rsid w:val="008B6C4E"/>
    <w:rsid w:val="008D3F92"/>
    <w:rsid w:val="008E0427"/>
    <w:rsid w:val="008E066A"/>
    <w:rsid w:val="008F06FE"/>
    <w:rsid w:val="0091719E"/>
    <w:rsid w:val="009214BF"/>
    <w:rsid w:val="00933228"/>
    <w:rsid w:val="0093424A"/>
    <w:rsid w:val="009447DA"/>
    <w:rsid w:val="0094730F"/>
    <w:rsid w:val="00951E6B"/>
    <w:rsid w:val="009758BF"/>
    <w:rsid w:val="00977181"/>
    <w:rsid w:val="0097744C"/>
    <w:rsid w:val="009870FC"/>
    <w:rsid w:val="009901BC"/>
    <w:rsid w:val="009931D4"/>
    <w:rsid w:val="009A26DE"/>
    <w:rsid w:val="009A4243"/>
    <w:rsid w:val="009A5C8D"/>
    <w:rsid w:val="009C415E"/>
    <w:rsid w:val="009D3F45"/>
    <w:rsid w:val="009E39F4"/>
    <w:rsid w:val="009E3BEE"/>
    <w:rsid w:val="009F027F"/>
    <w:rsid w:val="00A05726"/>
    <w:rsid w:val="00A202CC"/>
    <w:rsid w:val="00A240BB"/>
    <w:rsid w:val="00A429EF"/>
    <w:rsid w:val="00A70574"/>
    <w:rsid w:val="00A74BCE"/>
    <w:rsid w:val="00A75D47"/>
    <w:rsid w:val="00A8294D"/>
    <w:rsid w:val="00A852E2"/>
    <w:rsid w:val="00A85A4D"/>
    <w:rsid w:val="00A90415"/>
    <w:rsid w:val="00A90592"/>
    <w:rsid w:val="00A90C4E"/>
    <w:rsid w:val="00A922B5"/>
    <w:rsid w:val="00AB41B0"/>
    <w:rsid w:val="00AC5AE4"/>
    <w:rsid w:val="00AD5F42"/>
    <w:rsid w:val="00AD6FFF"/>
    <w:rsid w:val="00AD7610"/>
    <w:rsid w:val="00AF2D63"/>
    <w:rsid w:val="00AF4512"/>
    <w:rsid w:val="00B069A6"/>
    <w:rsid w:val="00B31C04"/>
    <w:rsid w:val="00B41AE3"/>
    <w:rsid w:val="00B535A2"/>
    <w:rsid w:val="00B6345D"/>
    <w:rsid w:val="00B66395"/>
    <w:rsid w:val="00B74159"/>
    <w:rsid w:val="00B778CC"/>
    <w:rsid w:val="00B81217"/>
    <w:rsid w:val="00B8123F"/>
    <w:rsid w:val="00BA0C1E"/>
    <w:rsid w:val="00BA0C4A"/>
    <w:rsid w:val="00BA1CD0"/>
    <w:rsid w:val="00BA2872"/>
    <w:rsid w:val="00BA497F"/>
    <w:rsid w:val="00BA7E41"/>
    <w:rsid w:val="00BB4078"/>
    <w:rsid w:val="00BB5C9E"/>
    <w:rsid w:val="00BC5A66"/>
    <w:rsid w:val="00BD1384"/>
    <w:rsid w:val="00BE25FA"/>
    <w:rsid w:val="00BE37F4"/>
    <w:rsid w:val="00BE6532"/>
    <w:rsid w:val="00BF21CA"/>
    <w:rsid w:val="00BF5570"/>
    <w:rsid w:val="00C10343"/>
    <w:rsid w:val="00C154B1"/>
    <w:rsid w:val="00C167D5"/>
    <w:rsid w:val="00C2012A"/>
    <w:rsid w:val="00C36416"/>
    <w:rsid w:val="00C41F26"/>
    <w:rsid w:val="00C438B7"/>
    <w:rsid w:val="00C47DE9"/>
    <w:rsid w:val="00C522B5"/>
    <w:rsid w:val="00C60546"/>
    <w:rsid w:val="00C7695E"/>
    <w:rsid w:val="00C80DCC"/>
    <w:rsid w:val="00C80EA1"/>
    <w:rsid w:val="00C90FA2"/>
    <w:rsid w:val="00C942F8"/>
    <w:rsid w:val="00C964EB"/>
    <w:rsid w:val="00CA0F45"/>
    <w:rsid w:val="00CB09CC"/>
    <w:rsid w:val="00CB4395"/>
    <w:rsid w:val="00CB5157"/>
    <w:rsid w:val="00CB578E"/>
    <w:rsid w:val="00CC2BF9"/>
    <w:rsid w:val="00CC3578"/>
    <w:rsid w:val="00CD36F2"/>
    <w:rsid w:val="00CD38C4"/>
    <w:rsid w:val="00D01826"/>
    <w:rsid w:val="00D04865"/>
    <w:rsid w:val="00D17537"/>
    <w:rsid w:val="00D17C7A"/>
    <w:rsid w:val="00D21D28"/>
    <w:rsid w:val="00D21E29"/>
    <w:rsid w:val="00D244A4"/>
    <w:rsid w:val="00D27B56"/>
    <w:rsid w:val="00D428E9"/>
    <w:rsid w:val="00D507C0"/>
    <w:rsid w:val="00D61EC3"/>
    <w:rsid w:val="00D649E5"/>
    <w:rsid w:val="00D65360"/>
    <w:rsid w:val="00D749C1"/>
    <w:rsid w:val="00D83E52"/>
    <w:rsid w:val="00D92821"/>
    <w:rsid w:val="00D9328B"/>
    <w:rsid w:val="00D96C75"/>
    <w:rsid w:val="00DA77D8"/>
    <w:rsid w:val="00DB4179"/>
    <w:rsid w:val="00DC50F7"/>
    <w:rsid w:val="00DE39BC"/>
    <w:rsid w:val="00DF5C1A"/>
    <w:rsid w:val="00E30500"/>
    <w:rsid w:val="00E31610"/>
    <w:rsid w:val="00E40752"/>
    <w:rsid w:val="00E458BF"/>
    <w:rsid w:val="00E52244"/>
    <w:rsid w:val="00E71F89"/>
    <w:rsid w:val="00E74132"/>
    <w:rsid w:val="00E75431"/>
    <w:rsid w:val="00E9055A"/>
    <w:rsid w:val="00E96EDC"/>
    <w:rsid w:val="00EB3B2A"/>
    <w:rsid w:val="00EC50DF"/>
    <w:rsid w:val="00ED0FB1"/>
    <w:rsid w:val="00ED27DB"/>
    <w:rsid w:val="00ED7A9F"/>
    <w:rsid w:val="00ED7F27"/>
    <w:rsid w:val="00EE3DF2"/>
    <w:rsid w:val="00EE4230"/>
    <w:rsid w:val="00EF1583"/>
    <w:rsid w:val="00EF4162"/>
    <w:rsid w:val="00EF6043"/>
    <w:rsid w:val="00EF604C"/>
    <w:rsid w:val="00EF62AD"/>
    <w:rsid w:val="00F02220"/>
    <w:rsid w:val="00F024F8"/>
    <w:rsid w:val="00F02FA1"/>
    <w:rsid w:val="00F13557"/>
    <w:rsid w:val="00F158D2"/>
    <w:rsid w:val="00F272B2"/>
    <w:rsid w:val="00F3142A"/>
    <w:rsid w:val="00F339C5"/>
    <w:rsid w:val="00F36F79"/>
    <w:rsid w:val="00F41141"/>
    <w:rsid w:val="00F61B01"/>
    <w:rsid w:val="00F74AB5"/>
    <w:rsid w:val="00F74EC8"/>
    <w:rsid w:val="00F81604"/>
    <w:rsid w:val="00F87DBF"/>
    <w:rsid w:val="00F90252"/>
    <w:rsid w:val="00F97144"/>
    <w:rsid w:val="00FB1A86"/>
    <w:rsid w:val="00FC1550"/>
    <w:rsid w:val="00FC4283"/>
    <w:rsid w:val="00FD47C8"/>
    <w:rsid w:val="00FE2E78"/>
    <w:rsid w:val="00FE43B7"/>
    <w:rsid w:val="00FF16A8"/>
    <w:rsid w:val="00FF6B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ED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0B"/>
    <w:pPr>
      <w:spacing w:after="200" w:line="276" w:lineRule="auto"/>
    </w:pPr>
    <w:rPr>
      <w:lang w:eastAsia="en-US"/>
    </w:rPr>
  </w:style>
  <w:style w:type="paragraph" w:styleId="Titre1">
    <w:name w:val="heading 1"/>
    <w:basedOn w:val="Normal"/>
    <w:link w:val="Titre1Car"/>
    <w:uiPriority w:val="99"/>
    <w:qFormat/>
    <w:rsid w:val="00BB4078"/>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B4078"/>
    <w:rPr>
      <w:rFonts w:ascii="Times New Roman" w:hAnsi="Times New Roman" w:cs="Times New Roman"/>
      <w:b/>
      <w:bCs/>
      <w:kern w:val="36"/>
      <w:sz w:val="48"/>
      <w:szCs w:val="48"/>
      <w:lang w:eastAsia="fr-FR"/>
    </w:rPr>
  </w:style>
  <w:style w:type="paragraph" w:styleId="Sansinterligne">
    <w:name w:val="No Spacing"/>
    <w:uiPriority w:val="99"/>
    <w:qFormat/>
    <w:rsid w:val="00E71F89"/>
    <w:rPr>
      <w:lang w:eastAsia="en-US"/>
    </w:rPr>
  </w:style>
  <w:style w:type="paragraph" w:styleId="Notedebasdepage">
    <w:name w:val="footnote text"/>
    <w:basedOn w:val="Normal"/>
    <w:link w:val="NotedebasdepageCar"/>
    <w:uiPriority w:val="99"/>
    <w:semiHidden/>
    <w:rsid w:val="002B384F"/>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B384F"/>
    <w:rPr>
      <w:rFonts w:cs="Times New Roman"/>
      <w:sz w:val="20"/>
      <w:szCs w:val="20"/>
    </w:rPr>
  </w:style>
  <w:style w:type="character" w:styleId="Marquenotebasdepage">
    <w:name w:val="footnote reference"/>
    <w:basedOn w:val="Policepardfaut"/>
    <w:uiPriority w:val="99"/>
    <w:semiHidden/>
    <w:rsid w:val="002B384F"/>
    <w:rPr>
      <w:rFonts w:cs="Times New Roman"/>
      <w:vertAlign w:val="superscript"/>
    </w:rPr>
  </w:style>
  <w:style w:type="paragraph" w:styleId="En-tte">
    <w:name w:val="header"/>
    <w:basedOn w:val="Normal"/>
    <w:link w:val="En-tteCar"/>
    <w:uiPriority w:val="99"/>
    <w:semiHidden/>
    <w:rsid w:val="007904BF"/>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904BF"/>
    <w:rPr>
      <w:rFonts w:cs="Times New Roman"/>
    </w:rPr>
  </w:style>
  <w:style w:type="paragraph" w:styleId="Pieddepage">
    <w:name w:val="footer"/>
    <w:basedOn w:val="Normal"/>
    <w:link w:val="PieddepageCar"/>
    <w:uiPriority w:val="99"/>
    <w:rsid w:val="007904B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904BF"/>
    <w:rPr>
      <w:rFonts w:cs="Times New Roman"/>
    </w:rPr>
  </w:style>
  <w:style w:type="character" w:styleId="Lienhypertexte">
    <w:name w:val="Hyperlink"/>
    <w:basedOn w:val="Policepardfaut"/>
    <w:uiPriority w:val="99"/>
    <w:rsid w:val="00933228"/>
    <w:rPr>
      <w:rFonts w:cs="Times New Roman"/>
      <w:color w:val="0000FF"/>
      <w:u w:val="single"/>
    </w:rPr>
  </w:style>
  <w:style w:type="character" w:customStyle="1" w:styleId="st">
    <w:name w:val="st"/>
    <w:basedOn w:val="Policepardfaut"/>
    <w:uiPriority w:val="99"/>
    <w:rsid w:val="002F09C6"/>
    <w:rPr>
      <w:rFonts w:cs="Times New Roman"/>
    </w:rPr>
  </w:style>
  <w:style w:type="character" w:styleId="Marquedannotation">
    <w:name w:val="annotation reference"/>
    <w:basedOn w:val="Policepardfaut"/>
    <w:uiPriority w:val="99"/>
    <w:semiHidden/>
    <w:rsid w:val="007E0954"/>
    <w:rPr>
      <w:rFonts w:cs="Times New Roman"/>
      <w:sz w:val="16"/>
      <w:szCs w:val="16"/>
    </w:rPr>
  </w:style>
  <w:style w:type="paragraph" w:styleId="Commentaire">
    <w:name w:val="annotation text"/>
    <w:basedOn w:val="Normal"/>
    <w:link w:val="CommentaireCar"/>
    <w:uiPriority w:val="99"/>
    <w:semiHidden/>
    <w:rsid w:val="007E0954"/>
    <w:pPr>
      <w:spacing w:line="240" w:lineRule="auto"/>
    </w:pPr>
    <w:rPr>
      <w:sz w:val="20"/>
      <w:szCs w:val="20"/>
    </w:rPr>
  </w:style>
  <w:style w:type="character" w:customStyle="1" w:styleId="CommentaireCar">
    <w:name w:val="Commentaire Car"/>
    <w:basedOn w:val="Policepardfaut"/>
    <w:link w:val="Commentaire"/>
    <w:uiPriority w:val="99"/>
    <w:semiHidden/>
    <w:locked/>
    <w:rsid w:val="007E0954"/>
    <w:rPr>
      <w:rFonts w:cs="Times New Roman"/>
      <w:sz w:val="20"/>
      <w:szCs w:val="20"/>
    </w:rPr>
  </w:style>
  <w:style w:type="paragraph" w:styleId="Objetducommentaire">
    <w:name w:val="annotation subject"/>
    <w:basedOn w:val="Commentaire"/>
    <w:next w:val="Commentaire"/>
    <w:link w:val="ObjetducommentaireCar"/>
    <w:uiPriority w:val="99"/>
    <w:semiHidden/>
    <w:rsid w:val="007E0954"/>
    <w:rPr>
      <w:b/>
      <w:bCs/>
    </w:rPr>
  </w:style>
  <w:style w:type="character" w:customStyle="1" w:styleId="ObjetducommentaireCar">
    <w:name w:val="Objet du commentaire Car"/>
    <w:basedOn w:val="CommentaireCar"/>
    <w:link w:val="Objetducommentaire"/>
    <w:uiPriority w:val="99"/>
    <w:semiHidden/>
    <w:locked/>
    <w:rsid w:val="007E0954"/>
    <w:rPr>
      <w:rFonts w:cs="Times New Roman"/>
      <w:b/>
      <w:bCs/>
      <w:sz w:val="20"/>
      <w:szCs w:val="20"/>
    </w:rPr>
  </w:style>
  <w:style w:type="paragraph" w:styleId="Rvision">
    <w:name w:val="Revision"/>
    <w:hidden/>
    <w:uiPriority w:val="99"/>
    <w:semiHidden/>
    <w:rsid w:val="007E0954"/>
    <w:rPr>
      <w:lang w:eastAsia="en-US"/>
    </w:rPr>
  </w:style>
  <w:style w:type="paragraph" w:styleId="Textedebulles">
    <w:name w:val="Balloon Text"/>
    <w:basedOn w:val="Normal"/>
    <w:link w:val="TextedebullesCar"/>
    <w:uiPriority w:val="99"/>
    <w:semiHidden/>
    <w:rsid w:val="007E0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E09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0B"/>
    <w:pPr>
      <w:spacing w:after="200" w:line="276" w:lineRule="auto"/>
    </w:pPr>
    <w:rPr>
      <w:lang w:eastAsia="en-US"/>
    </w:rPr>
  </w:style>
  <w:style w:type="paragraph" w:styleId="Titre1">
    <w:name w:val="heading 1"/>
    <w:basedOn w:val="Normal"/>
    <w:link w:val="Titre1Car"/>
    <w:uiPriority w:val="99"/>
    <w:qFormat/>
    <w:rsid w:val="00BB4078"/>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B4078"/>
    <w:rPr>
      <w:rFonts w:ascii="Times New Roman" w:hAnsi="Times New Roman" w:cs="Times New Roman"/>
      <w:b/>
      <w:bCs/>
      <w:kern w:val="36"/>
      <w:sz w:val="48"/>
      <w:szCs w:val="48"/>
      <w:lang w:eastAsia="fr-FR"/>
    </w:rPr>
  </w:style>
  <w:style w:type="paragraph" w:styleId="Sansinterligne">
    <w:name w:val="No Spacing"/>
    <w:uiPriority w:val="99"/>
    <w:qFormat/>
    <w:rsid w:val="00E71F89"/>
    <w:rPr>
      <w:lang w:eastAsia="en-US"/>
    </w:rPr>
  </w:style>
  <w:style w:type="paragraph" w:styleId="Notedebasdepage">
    <w:name w:val="footnote text"/>
    <w:basedOn w:val="Normal"/>
    <w:link w:val="NotedebasdepageCar"/>
    <w:uiPriority w:val="99"/>
    <w:semiHidden/>
    <w:rsid w:val="002B384F"/>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B384F"/>
    <w:rPr>
      <w:rFonts w:cs="Times New Roman"/>
      <w:sz w:val="20"/>
      <w:szCs w:val="20"/>
    </w:rPr>
  </w:style>
  <w:style w:type="character" w:styleId="Marquenotebasdepage">
    <w:name w:val="footnote reference"/>
    <w:basedOn w:val="Policepardfaut"/>
    <w:uiPriority w:val="99"/>
    <w:semiHidden/>
    <w:rsid w:val="002B384F"/>
    <w:rPr>
      <w:rFonts w:cs="Times New Roman"/>
      <w:vertAlign w:val="superscript"/>
    </w:rPr>
  </w:style>
  <w:style w:type="paragraph" w:styleId="En-tte">
    <w:name w:val="header"/>
    <w:basedOn w:val="Normal"/>
    <w:link w:val="En-tteCar"/>
    <w:uiPriority w:val="99"/>
    <w:semiHidden/>
    <w:rsid w:val="007904BF"/>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904BF"/>
    <w:rPr>
      <w:rFonts w:cs="Times New Roman"/>
    </w:rPr>
  </w:style>
  <w:style w:type="paragraph" w:styleId="Pieddepage">
    <w:name w:val="footer"/>
    <w:basedOn w:val="Normal"/>
    <w:link w:val="PieddepageCar"/>
    <w:uiPriority w:val="99"/>
    <w:rsid w:val="007904B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904BF"/>
    <w:rPr>
      <w:rFonts w:cs="Times New Roman"/>
    </w:rPr>
  </w:style>
  <w:style w:type="character" w:styleId="Lienhypertexte">
    <w:name w:val="Hyperlink"/>
    <w:basedOn w:val="Policepardfaut"/>
    <w:uiPriority w:val="99"/>
    <w:rsid w:val="00933228"/>
    <w:rPr>
      <w:rFonts w:cs="Times New Roman"/>
      <w:color w:val="0000FF"/>
      <w:u w:val="single"/>
    </w:rPr>
  </w:style>
  <w:style w:type="character" w:customStyle="1" w:styleId="st">
    <w:name w:val="st"/>
    <w:basedOn w:val="Policepardfaut"/>
    <w:uiPriority w:val="99"/>
    <w:rsid w:val="002F09C6"/>
    <w:rPr>
      <w:rFonts w:cs="Times New Roman"/>
    </w:rPr>
  </w:style>
  <w:style w:type="character" w:styleId="Marquedannotation">
    <w:name w:val="annotation reference"/>
    <w:basedOn w:val="Policepardfaut"/>
    <w:uiPriority w:val="99"/>
    <w:semiHidden/>
    <w:rsid w:val="007E0954"/>
    <w:rPr>
      <w:rFonts w:cs="Times New Roman"/>
      <w:sz w:val="16"/>
      <w:szCs w:val="16"/>
    </w:rPr>
  </w:style>
  <w:style w:type="paragraph" w:styleId="Commentaire">
    <w:name w:val="annotation text"/>
    <w:basedOn w:val="Normal"/>
    <w:link w:val="CommentaireCar"/>
    <w:uiPriority w:val="99"/>
    <w:semiHidden/>
    <w:rsid w:val="007E0954"/>
    <w:pPr>
      <w:spacing w:line="240" w:lineRule="auto"/>
    </w:pPr>
    <w:rPr>
      <w:sz w:val="20"/>
      <w:szCs w:val="20"/>
    </w:rPr>
  </w:style>
  <w:style w:type="character" w:customStyle="1" w:styleId="CommentaireCar">
    <w:name w:val="Commentaire Car"/>
    <w:basedOn w:val="Policepardfaut"/>
    <w:link w:val="Commentaire"/>
    <w:uiPriority w:val="99"/>
    <w:semiHidden/>
    <w:locked/>
    <w:rsid w:val="007E0954"/>
    <w:rPr>
      <w:rFonts w:cs="Times New Roman"/>
      <w:sz w:val="20"/>
      <w:szCs w:val="20"/>
    </w:rPr>
  </w:style>
  <w:style w:type="paragraph" w:styleId="Objetducommentaire">
    <w:name w:val="annotation subject"/>
    <w:basedOn w:val="Commentaire"/>
    <w:next w:val="Commentaire"/>
    <w:link w:val="ObjetducommentaireCar"/>
    <w:uiPriority w:val="99"/>
    <w:semiHidden/>
    <w:rsid w:val="007E0954"/>
    <w:rPr>
      <w:b/>
      <w:bCs/>
    </w:rPr>
  </w:style>
  <w:style w:type="character" w:customStyle="1" w:styleId="ObjetducommentaireCar">
    <w:name w:val="Objet du commentaire Car"/>
    <w:basedOn w:val="CommentaireCar"/>
    <w:link w:val="Objetducommentaire"/>
    <w:uiPriority w:val="99"/>
    <w:semiHidden/>
    <w:locked/>
    <w:rsid w:val="007E0954"/>
    <w:rPr>
      <w:rFonts w:cs="Times New Roman"/>
      <w:b/>
      <w:bCs/>
      <w:sz w:val="20"/>
      <w:szCs w:val="20"/>
    </w:rPr>
  </w:style>
  <w:style w:type="paragraph" w:styleId="Rvision">
    <w:name w:val="Revision"/>
    <w:hidden/>
    <w:uiPriority w:val="99"/>
    <w:semiHidden/>
    <w:rsid w:val="007E0954"/>
    <w:rPr>
      <w:lang w:eastAsia="en-US"/>
    </w:rPr>
  </w:style>
  <w:style w:type="paragraph" w:styleId="Textedebulles">
    <w:name w:val="Balloon Text"/>
    <w:basedOn w:val="Normal"/>
    <w:link w:val="TextedebullesCar"/>
    <w:uiPriority w:val="99"/>
    <w:semiHidden/>
    <w:rsid w:val="007E0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E0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0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hyperlink" Target="http://www.destatis.de" TargetMode="External"/><Relationship Id="rId15" Type="http://schemas.openxmlformats.org/officeDocument/2006/relationships/chart" Target="charts/chart6.xml"/><Relationship Id="rId16" Type="http://schemas.openxmlformats.org/officeDocument/2006/relationships/hyperlink" Target="http://www.bmfsfj.de" TargetMode="External"/><Relationship Id="rId17" Type="http://schemas.openxmlformats.org/officeDocument/2006/relationships/hyperlink" Target="http://www.destatis.de"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cuments\colloques\Le%20Mans%20mutations%20identitaires%20en%20Europe\stats\Classeu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ocuments\colloques\Le%20Mans%20mutations%20identitaires%20en%20Europe\stats\Classeur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ocuments\colloques\Le%20Mans%20mutations%20identitaires%20en%20Europe\stats\Classeur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ocuments\colloques\Le%20Mans%20mutations%20identitaires%20en%20Europe\stats\Salles%20Le%20Mans%20UE%20et%20po%20fam%20alld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ocuments\colloques\Le%20Mans%20mutations%20identitaires%20en%20Europe\stats\Classeur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C\Documents\colloques\Le%20Mans%20mutations%20identitaires%20en%20Europe\stats\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Feuil1!$A$4</c:f>
              <c:strCache>
                <c:ptCount val="1"/>
                <c:pt idx="0">
                  <c:v>Belgique</c:v>
                </c:pt>
              </c:strCache>
            </c:strRef>
          </c:tx>
          <c:spPr>
            <a:ln w="19050">
              <a:solidFill>
                <a:sysClr val="windowText" lastClr="000000"/>
              </a:solidFill>
            </a:ln>
          </c:spPr>
          <c:marker>
            <c:symbol val="x"/>
            <c:size val="5"/>
            <c:spPr>
              <a:ln>
                <a:solidFill>
                  <a:sysClr val="windowText" lastClr="000000"/>
                </a:solidFill>
              </a:ln>
            </c:spPr>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Feuil1!$B$4:$BA$4</c:f>
              <c:numCache>
                <c:formatCode>#,##0.00</c:formatCode>
                <c:ptCount val="52"/>
                <c:pt idx="0">
                  <c:v>2.54</c:v>
                </c:pt>
                <c:pt idx="1">
                  <c:v>2.63</c:v>
                </c:pt>
                <c:pt idx="2">
                  <c:v>2.59</c:v>
                </c:pt>
                <c:pt idx="3">
                  <c:v>2.68</c:v>
                </c:pt>
                <c:pt idx="4">
                  <c:v>2.71</c:v>
                </c:pt>
                <c:pt idx="5">
                  <c:v>2.61</c:v>
                </c:pt>
                <c:pt idx="6">
                  <c:v>2.52</c:v>
                </c:pt>
                <c:pt idx="7">
                  <c:v>2.41</c:v>
                </c:pt>
                <c:pt idx="8">
                  <c:v>2.309999999999999</c:v>
                </c:pt>
                <c:pt idx="9">
                  <c:v>2.27</c:v>
                </c:pt>
                <c:pt idx="10">
                  <c:v>2.25</c:v>
                </c:pt>
                <c:pt idx="11">
                  <c:v>2.21</c:v>
                </c:pt>
                <c:pt idx="12">
                  <c:v>2.09</c:v>
                </c:pt>
                <c:pt idx="13">
                  <c:v>1.950000000000002</c:v>
                </c:pt>
                <c:pt idx="14">
                  <c:v>1.83</c:v>
                </c:pt>
                <c:pt idx="15">
                  <c:v>1.740000000000001</c:v>
                </c:pt>
                <c:pt idx="16">
                  <c:v>1.730000000000001</c:v>
                </c:pt>
                <c:pt idx="17">
                  <c:v>1.710000000000001</c:v>
                </c:pt>
                <c:pt idx="18">
                  <c:v>1.690000000000003</c:v>
                </c:pt>
                <c:pt idx="19">
                  <c:v>1.690000000000003</c:v>
                </c:pt>
                <c:pt idx="20">
                  <c:v>1.680000000000003</c:v>
                </c:pt>
                <c:pt idx="21">
                  <c:v>1.66</c:v>
                </c:pt>
                <c:pt idx="22">
                  <c:v>1.61</c:v>
                </c:pt>
                <c:pt idx="23">
                  <c:v>1.57</c:v>
                </c:pt>
                <c:pt idx="24">
                  <c:v>1.54</c:v>
                </c:pt>
                <c:pt idx="25">
                  <c:v>1.51</c:v>
                </c:pt>
                <c:pt idx="26">
                  <c:v>1.54</c:v>
                </c:pt>
                <c:pt idx="27">
                  <c:v>1.54</c:v>
                </c:pt>
                <c:pt idx="28">
                  <c:v>1.57</c:v>
                </c:pt>
                <c:pt idx="29">
                  <c:v>1.58</c:v>
                </c:pt>
                <c:pt idx="30">
                  <c:v>1.62</c:v>
                </c:pt>
                <c:pt idx="31">
                  <c:v>1.66</c:v>
                </c:pt>
                <c:pt idx="32">
                  <c:v>1.65</c:v>
                </c:pt>
                <c:pt idx="33">
                  <c:v>1.61</c:v>
                </c:pt>
                <c:pt idx="34">
                  <c:v>1.56</c:v>
                </c:pt>
                <c:pt idx="35">
                  <c:v>1.56</c:v>
                </c:pt>
                <c:pt idx="36">
                  <c:v>1.59</c:v>
                </c:pt>
                <c:pt idx="37">
                  <c:v>1.6</c:v>
                </c:pt>
                <c:pt idx="38">
                  <c:v>1.6</c:v>
                </c:pt>
                <c:pt idx="39">
                  <c:v>1.62</c:v>
                </c:pt>
                <c:pt idx="40">
                  <c:v>1.670000000000002</c:v>
                </c:pt>
                <c:pt idx="41">
                  <c:v>1.670000000000002</c:v>
                </c:pt>
                <c:pt idx="42">
                  <c:v>1.65</c:v>
                </c:pt>
                <c:pt idx="43">
                  <c:v>1.66</c:v>
                </c:pt>
                <c:pt idx="44">
                  <c:v>1.720000000000001</c:v>
                </c:pt>
                <c:pt idx="45">
                  <c:v>1.760000000000001</c:v>
                </c:pt>
                <c:pt idx="46">
                  <c:v>1.8</c:v>
                </c:pt>
                <c:pt idx="47">
                  <c:v>1.82</c:v>
                </c:pt>
                <c:pt idx="48">
                  <c:v>1.85</c:v>
                </c:pt>
                <c:pt idx="49">
                  <c:v>1.84</c:v>
                </c:pt>
              </c:numCache>
            </c:numRef>
          </c:val>
          <c:smooth val="0"/>
        </c:ser>
        <c:ser>
          <c:idx val="1"/>
          <c:order val="1"/>
          <c:tx>
            <c:strRef>
              <c:f>Feuil1!$A$5</c:f>
              <c:strCache>
                <c:ptCount val="1"/>
                <c:pt idx="0">
                  <c:v>Danemark</c:v>
                </c:pt>
              </c:strCache>
            </c:strRef>
          </c:tx>
          <c:spPr>
            <a:ln w="12700">
              <a:solidFill>
                <a:sysClr val="windowText" lastClr="000000"/>
              </a:solidFill>
              <a:prstDash val="lgDash"/>
            </a:ln>
          </c:spPr>
          <c:marker>
            <c:symbol val="none"/>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Feuil1!$B$5:$BA$5</c:f>
              <c:numCache>
                <c:formatCode>#,##0.00</c:formatCode>
                <c:ptCount val="52"/>
                <c:pt idx="0">
                  <c:v>2.57</c:v>
                </c:pt>
                <c:pt idx="1">
                  <c:v>2.55</c:v>
                </c:pt>
                <c:pt idx="2">
                  <c:v>2.55</c:v>
                </c:pt>
                <c:pt idx="3">
                  <c:v>2.67</c:v>
                </c:pt>
                <c:pt idx="4">
                  <c:v>2.6</c:v>
                </c:pt>
                <c:pt idx="5">
                  <c:v>2.61</c:v>
                </c:pt>
                <c:pt idx="6">
                  <c:v>2.62</c:v>
                </c:pt>
                <c:pt idx="7">
                  <c:v>2.349999999999999</c:v>
                </c:pt>
                <c:pt idx="8">
                  <c:v>2.12</c:v>
                </c:pt>
                <c:pt idx="9">
                  <c:v>2.0</c:v>
                </c:pt>
                <c:pt idx="10">
                  <c:v>1.950000000000002</c:v>
                </c:pt>
                <c:pt idx="11">
                  <c:v>2.04</c:v>
                </c:pt>
                <c:pt idx="12">
                  <c:v>2.03</c:v>
                </c:pt>
                <c:pt idx="13">
                  <c:v>1.920000000000002</c:v>
                </c:pt>
                <c:pt idx="14">
                  <c:v>1.9</c:v>
                </c:pt>
                <c:pt idx="15">
                  <c:v>1.920000000000002</c:v>
                </c:pt>
                <c:pt idx="16">
                  <c:v>1.750000000000001</c:v>
                </c:pt>
                <c:pt idx="17">
                  <c:v>1.66</c:v>
                </c:pt>
                <c:pt idx="18">
                  <c:v>1.670000000000002</c:v>
                </c:pt>
                <c:pt idx="19">
                  <c:v>1.6</c:v>
                </c:pt>
                <c:pt idx="20">
                  <c:v>1.55</c:v>
                </c:pt>
                <c:pt idx="21">
                  <c:v>1.44</c:v>
                </c:pt>
                <c:pt idx="22">
                  <c:v>1.43</c:v>
                </c:pt>
                <c:pt idx="23">
                  <c:v>1.38</c:v>
                </c:pt>
                <c:pt idx="24">
                  <c:v>1.4</c:v>
                </c:pt>
                <c:pt idx="25">
                  <c:v>1.45</c:v>
                </c:pt>
                <c:pt idx="26">
                  <c:v>1.48</c:v>
                </c:pt>
                <c:pt idx="27">
                  <c:v>1.5</c:v>
                </c:pt>
                <c:pt idx="28">
                  <c:v>1.56</c:v>
                </c:pt>
                <c:pt idx="29">
                  <c:v>1.62</c:v>
                </c:pt>
                <c:pt idx="30">
                  <c:v>1.670000000000002</c:v>
                </c:pt>
                <c:pt idx="31">
                  <c:v>1.680000000000003</c:v>
                </c:pt>
                <c:pt idx="32">
                  <c:v>1.760000000000001</c:v>
                </c:pt>
                <c:pt idx="33">
                  <c:v>1.750000000000001</c:v>
                </c:pt>
                <c:pt idx="34">
                  <c:v>1.81</c:v>
                </c:pt>
                <c:pt idx="35">
                  <c:v>1.8</c:v>
                </c:pt>
                <c:pt idx="36">
                  <c:v>1.750000000000001</c:v>
                </c:pt>
                <c:pt idx="37">
                  <c:v>1.750000000000001</c:v>
                </c:pt>
                <c:pt idx="38">
                  <c:v>1.720000000000001</c:v>
                </c:pt>
                <c:pt idx="39">
                  <c:v>1.730000000000001</c:v>
                </c:pt>
                <c:pt idx="40">
                  <c:v>1.770000000000001</c:v>
                </c:pt>
                <c:pt idx="41">
                  <c:v>1.740000000000001</c:v>
                </c:pt>
                <c:pt idx="42">
                  <c:v>1.720000000000001</c:v>
                </c:pt>
                <c:pt idx="43">
                  <c:v>1.760000000000001</c:v>
                </c:pt>
                <c:pt idx="44">
                  <c:v>1.780000000000001</c:v>
                </c:pt>
                <c:pt idx="45">
                  <c:v>1.8</c:v>
                </c:pt>
                <c:pt idx="46">
                  <c:v>1.85</c:v>
                </c:pt>
                <c:pt idx="47">
                  <c:v>1.84</c:v>
                </c:pt>
                <c:pt idx="48">
                  <c:v>1.89</c:v>
                </c:pt>
                <c:pt idx="49">
                  <c:v>1.84</c:v>
                </c:pt>
                <c:pt idx="50">
                  <c:v>1.87</c:v>
                </c:pt>
                <c:pt idx="51">
                  <c:v>1.750000000000001</c:v>
                </c:pt>
              </c:numCache>
            </c:numRef>
          </c:val>
          <c:smooth val="0"/>
        </c:ser>
        <c:ser>
          <c:idx val="2"/>
          <c:order val="2"/>
          <c:tx>
            <c:strRef>
              <c:f>Feuil1!$A$6</c:f>
              <c:strCache>
                <c:ptCount val="1"/>
                <c:pt idx="0">
                  <c:v>Espagne</c:v>
                </c:pt>
              </c:strCache>
            </c:strRef>
          </c:tx>
          <c:spPr>
            <a:ln w="19050">
              <a:solidFill>
                <a:sysClr val="windowText" lastClr="000000"/>
              </a:solidFill>
              <a:prstDash val="lgDash"/>
            </a:ln>
          </c:spPr>
          <c:marker>
            <c:symbol val="none"/>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Feuil1!$B$6:$BA$6</c:f>
              <c:numCache>
                <c:formatCode>General</c:formatCode>
                <c:ptCount val="52"/>
                <c:pt idx="11" formatCode="#,##0.00">
                  <c:v>2.88</c:v>
                </c:pt>
                <c:pt idx="12" formatCode="#,##0.00">
                  <c:v>2.86</c:v>
                </c:pt>
                <c:pt idx="13" formatCode="#,##0.00">
                  <c:v>2.84</c:v>
                </c:pt>
                <c:pt idx="14" formatCode="#,##0.00">
                  <c:v>2.89</c:v>
                </c:pt>
                <c:pt idx="15" formatCode="#,##0.00">
                  <c:v>2.8</c:v>
                </c:pt>
                <c:pt idx="16" formatCode="#,##0.00">
                  <c:v>2.79</c:v>
                </c:pt>
                <c:pt idx="17" formatCode="#,##0.00">
                  <c:v>2.66</c:v>
                </c:pt>
                <c:pt idx="18" formatCode="#,##0.00">
                  <c:v>2.54</c:v>
                </c:pt>
                <c:pt idx="19" formatCode="#,##0.00">
                  <c:v>2.36</c:v>
                </c:pt>
                <c:pt idx="20" formatCode="#,##0.00">
                  <c:v>2.2</c:v>
                </c:pt>
                <c:pt idx="21" formatCode="#,##0.00">
                  <c:v>2.04</c:v>
                </c:pt>
                <c:pt idx="22" formatCode="#,##0.00">
                  <c:v>1.940000000000002</c:v>
                </c:pt>
                <c:pt idx="23" formatCode="#,##0.00">
                  <c:v>1.8</c:v>
                </c:pt>
                <c:pt idx="24" formatCode="#,##0.00">
                  <c:v>1.730000000000001</c:v>
                </c:pt>
                <c:pt idx="25" formatCode="#,##0.00">
                  <c:v>1.64</c:v>
                </c:pt>
                <c:pt idx="26" formatCode="#,##0.00">
                  <c:v>1.56</c:v>
                </c:pt>
                <c:pt idx="27" formatCode="#,##0.00">
                  <c:v>1.5</c:v>
                </c:pt>
                <c:pt idx="28" formatCode="#,##0.00">
                  <c:v>1.45</c:v>
                </c:pt>
                <c:pt idx="29" formatCode="#,##0.00">
                  <c:v>1.4</c:v>
                </c:pt>
                <c:pt idx="30" formatCode="#,##0.00">
                  <c:v>1.36</c:v>
                </c:pt>
                <c:pt idx="31" formatCode="#,##0.00">
                  <c:v>1.33</c:v>
                </c:pt>
                <c:pt idx="32" formatCode="#,##0.00">
                  <c:v>1.32</c:v>
                </c:pt>
                <c:pt idx="33" formatCode="#,##0.00">
                  <c:v>1.27</c:v>
                </c:pt>
                <c:pt idx="34" formatCode="#,##0.00">
                  <c:v>1.2</c:v>
                </c:pt>
                <c:pt idx="35" formatCode="#,##0.00">
                  <c:v>1.170000000000002</c:v>
                </c:pt>
                <c:pt idx="36" formatCode="#,##0.00">
                  <c:v>1.159999999999997</c:v>
                </c:pt>
                <c:pt idx="37" formatCode="#,##0.00">
                  <c:v>1.180000000000003</c:v>
                </c:pt>
                <c:pt idx="38" formatCode="#,##0.00">
                  <c:v>1.159999999999997</c:v>
                </c:pt>
                <c:pt idx="39" formatCode="#,##0.00">
                  <c:v>1.190000000000003</c:v>
                </c:pt>
                <c:pt idx="40" formatCode="#,##0.00">
                  <c:v>1.23</c:v>
                </c:pt>
                <c:pt idx="41" formatCode="#,##0.00">
                  <c:v>1.24</c:v>
                </c:pt>
                <c:pt idx="42" formatCode="#,##0.00">
                  <c:v>1.26</c:v>
                </c:pt>
                <c:pt idx="43" formatCode="#,##0.00">
                  <c:v>1.31</c:v>
                </c:pt>
                <c:pt idx="44" formatCode="#,##0.00">
                  <c:v>1.32</c:v>
                </c:pt>
                <c:pt idx="45" formatCode="#,##0.00">
                  <c:v>1.34</c:v>
                </c:pt>
                <c:pt idx="46" formatCode="#,##0.00">
                  <c:v>1.37</c:v>
                </c:pt>
                <c:pt idx="47" formatCode="#,##0.00">
                  <c:v>1.39</c:v>
                </c:pt>
                <c:pt idx="48" formatCode="#,##0.00">
                  <c:v>1.46</c:v>
                </c:pt>
                <c:pt idx="49" formatCode="#,##0.00">
                  <c:v>1.39</c:v>
                </c:pt>
                <c:pt idx="50" formatCode="#,##0.00">
                  <c:v>1.38</c:v>
                </c:pt>
                <c:pt idx="51" formatCode="#,##0.00">
                  <c:v>1.36</c:v>
                </c:pt>
              </c:numCache>
            </c:numRef>
          </c:val>
          <c:smooth val="0"/>
        </c:ser>
        <c:ser>
          <c:idx val="3"/>
          <c:order val="3"/>
          <c:tx>
            <c:strRef>
              <c:f>Feuil1!$A$7</c:f>
              <c:strCache>
                <c:ptCount val="1"/>
                <c:pt idx="0">
                  <c:v>France (métropolitaine)</c:v>
                </c:pt>
              </c:strCache>
            </c:strRef>
          </c:tx>
          <c:spPr>
            <a:ln w="19050">
              <a:solidFill>
                <a:schemeClr val="tx1"/>
              </a:solidFill>
              <a:prstDash val="sysDot"/>
            </a:ln>
          </c:spPr>
          <c:marker>
            <c:symbol val="star"/>
            <c:size val="4"/>
            <c:spPr>
              <a:ln>
                <a:solidFill>
                  <a:sysClr val="windowText" lastClr="000000"/>
                </a:solidFill>
              </a:ln>
            </c:spPr>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Feuil1!$B$7:$BA$7</c:f>
              <c:numCache>
                <c:formatCode>#,##0.00</c:formatCode>
                <c:ptCount val="52"/>
                <c:pt idx="0">
                  <c:v>2.73</c:v>
                </c:pt>
                <c:pt idx="1">
                  <c:v>2.809999999999999</c:v>
                </c:pt>
                <c:pt idx="2">
                  <c:v>2.78</c:v>
                </c:pt>
                <c:pt idx="3">
                  <c:v>2.88</c:v>
                </c:pt>
                <c:pt idx="4">
                  <c:v>2.9</c:v>
                </c:pt>
                <c:pt idx="5">
                  <c:v>2.84</c:v>
                </c:pt>
                <c:pt idx="6">
                  <c:v>2.79</c:v>
                </c:pt>
                <c:pt idx="7">
                  <c:v>2.66</c:v>
                </c:pt>
                <c:pt idx="8">
                  <c:v>2.58</c:v>
                </c:pt>
                <c:pt idx="9">
                  <c:v>2.53</c:v>
                </c:pt>
                <c:pt idx="10">
                  <c:v>2.47</c:v>
                </c:pt>
                <c:pt idx="11">
                  <c:v>2.49</c:v>
                </c:pt>
                <c:pt idx="12">
                  <c:v>2.41</c:v>
                </c:pt>
                <c:pt idx="13">
                  <c:v>2.3</c:v>
                </c:pt>
                <c:pt idx="14">
                  <c:v>2.11</c:v>
                </c:pt>
                <c:pt idx="15">
                  <c:v>1.930000000000002</c:v>
                </c:pt>
                <c:pt idx="16">
                  <c:v>1.83</c:v>
                </c:pt>
                <c:pt idx="17">
                  <c:v>1.86</c:v>
                </c:pt>
                <c:pt idx="18">
                  <c:v>1.82</c:v>
                </c:pt>
                <c:pt idx="19">
                  <c:v>1.86</c:v>
                </c:pt>
                <c:pt idx="20">
                  <c:v>1.950000000000002</c:v>
                </c:pt>
                <c:pt idx="21">
                  <c:v>1.950000000000002</c:v>
                </c:pt>
                <c:pt idx="22">
                  <c:v>1.91</c:v>
                </c:pt>
                <c:pt idx="23">
                  <c:v>1.780000000000001</c:v>
                </c:pt>
                <c:pt idx="24">
                  <c:v>1.8</c:v>
                </c:pt>
                <c:pt idx="25">
                  <c:v>1.81</c:v>
                </c:pt>
                <c:pt idx="26">
                  <c:v>1.83</c:v>
                </c:pt>
                <c:pt idx="27">
                  <c:v>1.8</c:v>
                </c:pt>
                <c:pt idx="28">
                  <c:v>1.81</c:v>
                </c:pt>
                <c:pt idx="29">
                  <c:v>1.790000000000001</c:v>
                </c:pt>
                <c:pt idx="30">
                  <c:v>1.780000000000001</c:v>
                </c:pt>
                <c:pt idx="31">
                  <c:v>1.770000000000001</c:v>
                </c:pt>
                <c:pt idx="32">
                  <c:v>1.730000000000001</c:v>
                </c:pt>
                <c:pt idx="33">
                  <c:v>1.66</c:v>
                </c:pt>
                <c:pt idx="34">
                  <c:v>1.66</c:v>
                </c:pt>
                <c:pt idx="35">
                  <c:v>1.710000000000001</c:v>
                </c:pt>
                <c:pt idx="36">
                  <c:v>1.730000000000001</c:v>
                </c:pt>
                <c:pt idx="37">
                  <c:v>1.730000000000001</c:v>
                </c:pt>
                <c:pt idx="38">
                  <c:v>1.760000000000001</c:v>
                </c:pt>
                <c:pt idx="39">
                  <c:v>1.790000000000001</c:v>
                </c:pt>
                <c:pt idx="40">
                  <c:v>1.87</c:v>
                </c:pt>
                <c:pt idx="41">
                  <c:v>1.88</c:v>
                </c:pt>
                <c:pt idx="42">
                  <c:v>1.86</c:v>
                </c:pt>
                <c:pt idx="43">
                  <c:v>1.87</c:v>
                </c:pt>
                <c:pt idx="44">
                  <c:v>1.9</c:v>
                </c:pt>
                <c:pt idx="45">
                  <c:v>1.920000000000002</c:v>
                </c:pt>
                <c:pt idx="46">
                  <c:v>1.980000000000002</c:v>
                </c:pt>
                <c:pt idx="47">
                  <c:v>1.960000000000002</c:v>
                </c:pt>
                <c:pt idx="48">
                  <c:v>1.990000000000002</c:v>
                </c:pt>
                <c:pt idx="49">
                  <c:v>1.990000000000002</c:v>
                </c:pt>
                <c:pt idx="50">
                  <c:v>2.01</c:v>
                </c:pt>
              </c:numCache>
            </c:numRef>
          </c:val>
          <c:smooth val="0"/>
        </c:ser>
        <c:ser>
          <c:idx val="4"/>
          <c:order val="4"/>
          <c:tx>
            <c:strRef>
              <c:f>Feuil1!$A$8</c:f>
              <c:strCache>
                <c:ptCount val="1"/>
                <c:pt idx="0">
                  <c:v>Irlande</c:v>
                </c:pt>
              </c:strCache>
            </c:strRef>
          </c:tx>
          <c:spPr>
            <a:ln w="12700">
              <a:solidFill>
                <a:sysClr val="windowText" lastClr="000000"/>
              </a:solidFill>
              <a:prstDash val="sysDash"/>
            </a:ln>
          </c:spPr>
          <c:marker>
            <c:symbol val="none"/>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Feuil1!$B$8:$BA$8</c:f>
              <c:numCache>
                <c:formatCode>#,##0.00</c:formatCode>
                <c:ptCount val="52"/>
                <c:pt idx="0">
                  <c:v>3.78</c:v>
                </c:pt>
                <c:pt idx="1">
                  <c:v>3.78</c:v>
                </c:pt>
                <c:pt idx="2">
                  <c:v>3.92</c:v>
                </c:pt>
                <c:pt idx="3">
                  <c:v>4.01</c:v>
                </c:pt>
                <c:pt idx="4">
                  <c:v>4.07</c:v>
                </c:pt>
                <c:pt idx="5">
                  <c:v>4.04</c:v>
                </c:pt>
                <c:pt idx="6">
                  <c:v>3.94</c:v>
                </c:pt>
                <c:pt idx="7">
                  <c:v>3.84</c:v>
                </c:pt>
                <c:pt idx="8">
                  <c:v>3.77</c:v>
                </c:pt>
                <c:pt idx="9">
                  <c:v>3.829999999999999</c:v>
                </c:pt>
                <c:pt idx="10">
                  <c:v>3.849999999999999</c:v>
                </c:pt>
                <c:pt idx="11">
                  <c:v>3.93</c:v>
                </c:pt>
                <c:pt idx="12">
                  <c:v>3.84</c:v>
                </c:pt>
                <c:pt idx="13">
                  <c:v>3.71</c:v>
                </c:pt>
                <c:pt idx="14">
                  <c:v>3.59</c:v>
                </c:pt>
                <c:pt idx="15">
                  <c:v>3.37</c:v>
                </c:pt>
                <c:pt idx="16">
                  <c:v>3.29</c:v>
                </c:pt>
                <c:pt idx="17">
                  <c:v>3.24</c:v>
                </c:pt>
                <c:pt idx="18">
                  <c:v>3.21</c:v>
                </c:pt>
                <c:pt idx="19">
                  <c:v>3.21</c:v>
                </c:pt>
                <c:pt idx="20">
                  <c:v>3.21</c:v>
                </c:pt>
                <c:pt idx="21">
                  <c:v>3.05</c:v>
                </c:pt>
                <c:pt idx="22">
                  <c:v>2.94</c:v>
                </c:pt>
                <c:pt idx="23">
                  <c:v>2.74</c:v>
                </c:pt>
                <c:pt idx="24">
                  <c:v>2.58</c:v>
                </c:pt>
                <c:pt idx="25">
                  <c:v>2.48</c:v>
                </c:pt>
                <c:pt idx="26">
                  <c:v>2.44</c:v>
                </c:pt>
                <c:pt idx="27">
                  <c:v>2.319999999999997</c:v>
                </c:pt>
                <c:pt idx="28">
                  <c:v>2.17</c:v>
                </c:pt>
                <c:pt idx="29">
                  <c:v>2.08</c:v>
                </c:pt>
                <c:pt idx="30">
                  <c:v>2.11</c:v>
                </c:pt>
                <c:pt idx="31">
                  <c:v>2.08</c:v>
                </c:pt>
                <c:pt idx="32">
                  <c:v>1.990000000000002</c:v>
                </c:pt>
                <c:pt idx="33">
                  <c:v>1.9</c:v>
                </c:pt>
                <c:pt idx="34">
                  <c:v>1.85</c:v>
                </c:pt>
                <c:pt idx="35">
                  <c:v>1.84</c:v>
                </c:pt>
                <c:pt idx="36">
                  <c:v>1.88</c:v>
                </c:pt>
                <c:pt idx="37">
                  <c:v>1.930000000000002</c:v>
                </c:pt>
                <c:pt idx="38">
                  <c:v>1.940000000000002</c:v>
                </c:pt>
                <c:pt idx="39">
                  <c:v>1.9</c:v>
                </c:pt>
                <c:pt idx="40">
                  <c:v>1.89</c:v>
                </c:pt>
                <c:pt idx="41">
                  <c:v>1.940000000000002</c:v>
                </c:pt>
                <c:pt idx="42">
                  <c:v>1.970000000000002</c:v>
                </c:pt>
                <c:pt idx="43">
                  <c:v>1.960000000000002</c:v>
                </c:pt>
                <c:pt idx="44">
                  <c:v>1.930000000000002</c:v>
                </c:pt>
                <c:pt idx="45">
                  <c:v>1.86</c:v>
                </c:pt>
                <c:pt idx="46">
                  <c:v>1.920000000000002</c:v>
                </c:pt>
                <c:pt idx="47">
                  <c:v>2.01</c:v>
                </c:pt>
                <c:pt idx="48">
                  <c:v>2.07</c:v>
                </c:pt>
                <c:pt idx="49">
                  <c:v>2.07</c:v>
                </c:pt>
                <c:pt idx="50">
                  <c:v>2.07</c:v>
                </c:pt>
                <c:pt idx="51">
                  <c:v>2.05</c:v>
                </c:pt>
              </c:numCache>
            </c:numRef>
          </c:val>
          <c:smooth val="0"/>
        </c:ser>
        <c:ser>
          <c:idx val="5"/>
          <c:order val="5"/>
          <c:tx>
            <c:strRef>
              <c:f>Feuil1!$A$9</c:f>
              <c:strCache>
                <c:ptCount val="1"/>
                <c:pt idx="0">
                  <c:v>Italie</c:v>
                </c:pt>
              </c:strCache>
            </c:strRef>
          </c:tx>
          <c:spPr>
            <a:ln w="19050">
              <a:solidFill>
                <a:schemeClr val="tx1"/>
              </a:solidFill>
              <a:prstDash val="lgDashDotDot"/>
            </a:ln>
          </c:spPr>
          <c:marker>
            <c:symbol val="circle"/>
            <c:size val="4"/>
            <c:spPr>
              <a:solidFill>
                <a:schemeClr val="bg1"/>
              </a:solidFill>
              <a:ln>
                <a:solidFill>
                  <a:schemeClr val="tx1"/>
                </a:solidFill>
              </a:ln>
            </c:spPr>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Feuil1!$B$9:$BA$9</c:f>
              <c:numCache>
                <c:formatCode>#,##0.00</c:formatCode>
                <c:ptCount val="52"/>
                <c:pt idx="0">
                  <c:v>2.37</c:v>
                </c:pt>
                <c:pt idx="1">
                  <c:v>2.42</c:v>
                </c:pt>
                <c:pt idx="2">
                  <c:v>2.44</c:v>
                </c:pt>
                <c:pt idx="3">
                  <c:v>2.5</c:v>
                </c:pt>
                <c:pt idx="4">
                  <c:v>2.65</c:v>
                </c:pt>
                <c:pt idx="5">
                  <c:v>2.59</c:v>
                </c:pt>
                <c:pt idx="6">
                  <c:v>2.57</c:v>
                </c:pt>
                <c:pt idx="7">
                  <c:v>2.5</c:v>
                </c:pt>
                <c:pt idx="8">
                  <c:v>2.49</c:v>
                </c:pt>
                <c:pt idx="9">
                  <c:v>2.46</c:v>
                </c:pt>
                <c:pt idx="10">
                  <c:v>2.38</c:v>
                </c:pt>
                <c:pt idx="11">
                  <c:v>2.4</c:v>
                </c:pt>
                <c:pt idx="12">
                  <c:v>2.349999999999999</c:v>
                </c:pt>
                <c:pt idx="13">
                  <c:v>2.3</c:v>
                </c:pt>
                <c:pt idx="14">
                  <c:v>2.28</c:v>
                </c:pt>
                <c:pt idx="15">
                  <c:v>2.17</c:v>
                </c:pt>
                <c:pt idx="16">
                  <c:v>2.04</c:v>
                </c:pt>
                <c:pt idx="17">
                  <c:v>1.930000000000002</c:v>
                </c:pt>
                <c:pt idx="18">
                  <c:v>1.84</c:v>
                </c:pt>
                <c:pt idx="19">
                  <c:v>1.730000000000001</c:v>
                </c:pt>
                <c:pt idx="20">
                  <c:v>1.64</c:v>
                </c:pt>
                <c:pt idx="21">
                  <c:v>1.58</c:v>
                </c:pt>
                <c:pt idx="22">
                  <c:v>1.56</c:v>
                </c:pt>
                <c:pt idx="23">
                  <c:v>1.51</c:v>
                </c:pt>
                <c:pt idx="24">
                  <c:v>1.46</c:v>
                </c:pt>
                <c:pt idx="25">
                  <c:v>1.42</c:v>
                </c:pt>
                <c:pt idx="26">
                  <c:v>1.35</c:v>
                </c:pt>
                <c:pt idx="27">
                  <c:v>1.33</c:v>
                </c:pt>
                <c:pt idx="28">
                  <c:v>1.36</c:v>
                </c:pt>
                <c:pt idx="29">
                  <c:v>1.33</c:v>
                </c:pt>
                <c:pt idx="30">
                  <c:v>1.33</c:v>
                </c:pt>
                <c:pt idx="31">
                  <c:v>1.3</c:v>
                </c:pt>
                <c:pt idx="32">
                  <c:v>1.3</c:v>
                </c:pt>
                <c:pt idx="33">
                  <c:v>1.25</c:v>
                </c:pt>
                <c:pt idx="34">
                  <c:v>1.21</c:v>
                </c:pt>
                <c:pt idx="35">
                  <c:v>1.190000000000003</c:v>
                </c:pt>
                <c:pt idx="36">
                  <c:v>1.2</c:v>
                </c:pt>
                <c:pt idx="37">
                  <c:v>1.21</c:v>
                </c:pt>
                <c:pt idx="38">
                  <c:v>1.21</c:v>
                </c:pt>
                <c:pt idx="39">
                  <c:v>1.23</c:v>
                </c:pt>
                <c:pt idx="40">
                  <c:v>1.26</c:v>
                </c:pt>
                <c:pt idx="41">
                  <c:v>1.25</c:v>
                </c:pt>
                <c:pt idx="42">
                  <c:v>1.27</c:v>
                </c:pt>
                <c:pt idx="43">
                  <c:v>1.29</c:v>
                </c:pt>
                <c:pt idx="44">
                  <c:v>1.33</c:v>
                </c:pt>
                <c:pt idx="45">
                  <c:v>1.32</c:v>
                </c:pt>
                <c:pt idx="46">
                  <c:v>1.35</c:v>
                </c:pt>
                <c:pt idx="47">
                  <c:v>1.37</c:v>
                </c:pt>
                <c:pt idx="48">
                  <c:v>1.42</c:v>
                </c:pt>
                <c:pt idx="49">
                  <c:v>1.41</c:v>
                </c:pt>
                <c:pt idx="50">
                  <c:v>1.41</c:v>
                </c:pt>
              </c:numCache>
            </c:numRef>
          </c:val>
          <c:smooth val="0"/>
        </c:ser>
        <c:ser>
          <c:idx val="6"/>
          <c:order val="6"/>
          <c:tx>
            <c:strRef>
              <c:f>Feuil1!$A$10</c:f>
              <c:strCache>
                <c:ptCount val="1"/>
                <c:pt idx="0">
                  <c:v>Grèce</c:v>
                </c:pt>
              </c:strCache>
            </c:strRef>
          </c:tx>
          <c:spPr>
            <a:ln w="19050">
              <a:solidFill>
                <a:sysClr val="windowText" lastClr="000000"/>
              </a:solidFill>
              <a:prstDash val="dashDot"/>
            </a:ln>
          </c:spPr>
          <c:marker>
            <c:symbol val="none"/>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Feuil1!$B$10:$BA$10</c:f>
              <c:numCache>
                <c:formatCode>#,##0.00</c:formatCode>
                <c:ptCount val="52"/>
                <c:pt idx="0">
                  <c:v>2.23</c:v>
                </c:pt>
                <c:pt idx="1">
                  <c:v>2.13</c:v>
                </c:pt>
                <c:pt idx="2">
                  <c:v>2.16</c:v>
                </c:pt>
                <c:pt idx="3">
                  <c:v>2.14</c:v>
                </c:pt>
                <c:pt idx="4">
                  <c:v>2.24</c:v>
                </c:pt>
                <c:pt idx="5">
                  <c:v>2.25</c:v>
                </c:pt>
                <c:pt idx="6">
                  <c:v>2.319999999999997</c:v>
                </c:pt>
                <c:pt idx="7">
                  <c:v>2.45</c:v>
                </c:pt>
                <c:pt idx="8">
                  <c:v>2.42</c:v>
                </c:pt>
                <c:pt idx="9">
                  <c:v>2.36</c:v>
                </c:pt>
                <c:pt idx="10">
                  <c:v>2.4</c:v>
                </c:pt>
                <c:pt idx="11">
                  <c:v>2.319999999999997</c:v>
                </c:pt>
                <c:pt idx="12">
                  <c:v>2.319999999999997</c:v>
                </c:pt>
                <c:pt idx="13">
                  <c:v>2.27</c:v>
                </c:pt>
                <c:pt idx="14">
                  <c:v>2.38</c:v>
                </c:pt>
                <c:pt idx="15">
                  <c:v>2.329999999999999</c:v>
                </c:pt>
                <c:pt idx="16">
                  <c:v>2.349999999999999</c:v>
                </c:pt>
                <c:pt idx="17">
                  <c:v>2.27</c:v>
                </c:pt>
                <c:pt idx="18">
                  <c:v>2.28</c:v>
                </c:pt>
                <c:pt idx="19">
                  <c:v>2.26</c:v>
                </c:pt>
                <c:pt idx="20">
                  <c:v>2.23</c:v>
                </c:pt>
                <c:pt idx="21">
                  <c:v>2.09</c:v>
                </c:pt>
                <c:pt idx="22">
                  <c:v>2.03</c:v>
                </c:pt>
                <c:pt idx="23">
                  <c:v>1.940000000000002</c:v>
                </c:pt>
                <c:pt idx="24">
                  <c:v>1.83</c:v>
                </c:pt>
                <c:pt idx="25">
                  <c:v>1.670000000000002</c:v>
                </c:pt>
                <c:pt idx="26">
                  <c:v>1.6</c:v>
                </c:pt>
                <c:pt idx="27">
                  <c:v>1.5</c:v>
                </c:pt>
                <c:pt idx="28">
                  <c:v>1.5</c:v>
                </c:pt>
                <c:pt idx="29">
                  <c:v>1.4</c:v>
                </c:pt>
                <c:pt idx="30">
                  <c:v>1.4</c:v>
                </c:pt>
                <c:pt idx="31">
                  <c:v>1.38</c:v>
                </c:pt>
                <c:pt idx="32">
                  <c:v>1.39</c:v>
                </c:pt>
                <c:pt idx="33">
                  <c:v>1.34</c:v>
                </c:pt>
                <c:pt idx="34">
                  <c:v>1.35</c:v>
                </c:pt>
                <c:pt idx="35">
                  <c:v>1.31</c:v>
                </c:pt>
                <c:pt idx="36">
                  <c:v>1.28</c:v>
                </c:pt>
                <c:pt idx="37">
                  <c:v>1.28</c:v>
                </c:pt>
                <c:pt idx="38">
                  <c:v>1.26</c:v>
                </c:pt>
                <c:pt idx="39">
                  <c:v>1.24</c:v>
                </c:pt>
                <c:pt idx="40">
                  <c:v>1.26</c:v>
                </c:pt>
                <c:pt idx="41">
                  <c:v>1.25</c:v>
                </c:pt>
                <c:pt idx="42">
                  <c:v>1.27</c:v>
                </c:pt>
                <c:pt idx="43">
                  <c:v>1.28</c:v>
                </c:pt>
                <c:pt idx="44">
                  <c:v>1.3</c:v>
                </c:pt>
                <c:pt idx="45">
                  <c:v>1.33</c:v>
                </c:pt>
                <c:pt idx="46">
                  <c:v>1.4</c:v>
                </c:pt>
                <c:pt idx="47">
                  <c:v>1.41</c:v>
                </c:pt>
                <c:pt idx="48">
                  <c:v>1.51</c:v>
                </c:pt>
                <c:pt idx="49">
                  <c:v>1.52</c:v>
                </c:pt>
                <c:pt idx="50">
                  <c:v>1.51</c:v>
                </c:pt>
                <c:pt idx="51">
                  <c:v>1.42</c:v>
                </c:pt>
              </c:numCache>
            </c:numRef>
          </c:val>
          <c:smooth val="0"/>
        </c:ser>
        <c:ser>
          <c:idx val="7"/>
          <c:order val="7"/>
          <c:tx>
            <c:strRef>
              <c:f>Feuil1!$A$11</c:f>
              <c:strCache>
                <c:ptCount val="1"/>
                <c:pt idx="0">
                  <c:v>Luxembourg</c:v>
                </c:pt>
              </c:strCache>
            </c:strRef>
          </c:tx>
          <c:spPr>
            <a:ln w="19050">
              <a:solidFill>
                <a:sysClr val="windowText" lastClr="000000"/>
              </a:solidFill>
              <a:prstDash val="sysDot"/>
            </a:ln>
          </c:spPr>
          <c:marker>
            <c:symbol val="triangle"/>
            <c:size val="5"/>
            <c:spPr>
              <a:solidFill>
                <a:schemeClr val="tx1"/>
              </a:solidFill>
              <a:ln>
                <a:solidFill>
                  <a:schemeClr val="bg1"/>
                </a:solidFill>
              </a:ln>
            </c:spPr>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Feuil1!$B$11:$BA$11</c:f>
              <c:numCache>
                <c:formatCode>General</c:formatCode>
                <c:ptCount val="52"/>
                <c:pt idx="7" formatCode="#,##0.00">
                  <c:v>2.24</c:v>
                </c:pt>
                <c:pt idx="8" formatCode="#,##0.00">
                  <c:v>2.12</c:v>
                </c:pt>
                <c:pt idx="9" formatCode="#,##0.00">
                  <c:v>2.02</c:v>
                </c:pt>
                <c:pt idx="10" formatCode="#,##0.00">
                  <c:v>1.970000000000002</c:v>
                </c:pt>
                <c:pt idx="11" formatCode="#,##0.00">
                  <c:v>1.950000000000002</c:v>
                </c:pt>
                <c:pt idx="12" formatCode="#,##0.00">
                  <c:v>1.750000000000001</c:v>
                </c:pt>
                <c:pt idx="13" formatCode="#,##0.00">
                  <c:v>1.58</c:v>
                </c:pt>
                <c:pt idx="14" formatCode="#,##0.00">
                  <c:v>1.58</c:v>
                </c:pt>
                <c:pt idx="15" formatCode="#,##0.00">
                  <c:v>1.55</c:v>
                </c:pt>
                <c:pt idx="16" formatCode="#,##0.00">
                  <c:v>1.48</c:v>
                </c:pt>
                <c:pt idx="17" formatCode="#,##0.00">
                  <c:v>1.5</c:v>
                </c:pt>
                <c:pt idx="18" formatCode="#,##0.00">
                  <c:v>1.48</c:v>
                </c:pt>
                <c:pt idx="19" formatCode="#,##0.00">
                  <c:v>1.48</c:v>
                </c:pt>
                <c:pt idx="20" formatCode="#,##0.00">
                  <c:v>1.5</c:v>
                </c:pt>
                <c:pt idx="21" formatCode="#,##0.00">
                  <c:v>1.55</c:v>
                </c:pt>
                <c:pt idx="22" formatCode="#,##0.00">
                  <c:v>1.49</c:v>
                </c:pt>
                <c:pt idx="23" formatCode="#,##0.00">
                  <c:v>1.43</c:v>
                </c:pt>
                <c:pt idx="24" formatCode="#,##0.00">
                  <c:v>1.42</c:v>
                </c:pt>
                <c:pt idx="25" formatCode="#,##0.00">
                  <c:v>1.38</c:v>
                </c:pt>
                <c:pt idx="26" formatCode="#,##0.00">
                  <c:v>1.43</c:v>
                </c:pt>
                <c:pt idx="27" formatCode="#,##0.00">
                  <c:v>1.4</c:v>
                </c:pt>
                <c:pt idx="28" formatCode="#,##0.00">
                  <c:v>1.51</c:v>
                </c:pt>
                <c:pt idx="29" formatCode="#,##0.00">
                  <c:v>1.52</c:v>
                </c:pt>
                <c:pt idx="30" formatCode="#,##0.00">
                  <c:v>1.6</c:v>
                </c:pt>
                <c:pt idx="31" formatCode="#,##0.00">
                  <c:v>1.6</c:v>
                </c:pt>
                <c:pt idx="32" formatCode="#,##0.00">
                  <c:v>1.64</c:v>
                </c:pt>
                <c:pt idx="33" formatCode="#,##0.00">
                  <c:v>1.700000000000001</c:v>
                </c:pt>
                <c:pt idx="34" formatCode="#,##0.00">
                  <c:v>1.720000000000001</c:v>
                </c:pt>
                <c:pt idx="35" formatCode="#,##0.00">
                  <c:v>1.700000000000001</c:v>
                </c:pt>
                <c:pt idx="36" formatCode="#,##0.00">
                  <c:v>1.770000000000001</c:v>
                </c:pt>
                <c:pt idx="37" formatCode="#,##0.00">
                  <c:v>1.710000000000001</c:v>
                </c:pt>
                <c:pt idx="38" formatCode="#,##0.00">
                  <c:v>1.680000000000003</c:v>
                </c:pt>
                <c:pt idx="39" formatCode="#,##0.00">
                  <c:v>1.740000000000001</c:v>
                </c:pt>
                <c:pt idx="40" formatCode="#,##0.00">
                  <c:v>1.760000000000001</c:v>
                </c:pt>
                <c:pt idx="41" formatCode="#,##0.00">
                  <c:v>1.66</c:v>
                </c:pt>
                <c:pt idx="42" formatCode="#,##0.00">
                  <c:v>1.63</c:v>
                </c:pt>
                <c:pt idx="43" formatCode="#,##0.00">
                  <c:v>1.62</c:v>
                </c:pt>
                <c:pt idx="44" formatCode="#,##0.00">
                  <c:v>1.66</c:v>
                </c:pt>
                <c:pt idx="45" formatCode="#,##0.00">
                  <c:v>1.63</c:v>
                </c:pt>
                <c:pt idx="46" formatCode="#,##0.00">
                  <c:v>1.65</c:v>
                </c:pt>
                <c:pt idx="47" formatCode="#,##0.00">
                  <c:v>1.61</c:v>
                </c:pt>
                <c:pt idx="48" formatCode="#,##0.00">
                  <c:v>1.61</c:v>
                </c:pt>
                <c:pt idx="49" formatCode="#,##0.00">
                  <c:v>1.59</c:v>
                </c:pt>
                <c:pt idx="50" formatCode="#,##0.00">
                  <c:v>1.63</c:v>
                </c:pt>
                <c:pt idx="51" formatCode="#,##0.00">
                  <c:v>1.52</c:v>
                </c:pt>
              </c:numCache>
            </c:numRef>
          </c:val>
          <c:smooth val="0"/>
        </c:ser>
        <c:ser>
          <c:idx val="8"/>
          <c:order val="8"/>
          <c:tx>
            <c:strRef>
              <c:f>Feuil1!$A$12</c:f>
              <c:strCache>
                <c:ptCount val="1"/>
                <c:pt idx="0">
                  <c:v>Pays-Bas</c:v>
                </c:pt>
              </c:strCache>
            </c:strRef>
          </c:tx>
          <c:spPr>
            <a:ln w="12700">
              <a:solidFill>
                <a:sysClr val="windowText" lastClr="000000"/>
              </a:solidFill>
              <a:prstDash val="dashDot"/>
            </a:ln>
          </c:spPr>
          <c:marker>
            <c:symbol val="none"/>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Feuil1!$B$12:$BA$12</c:f>
              <c:numCache>
                <c:formatCode>#,##0.00</c:formatCode>
                <c:ptCount val="52"/>
                <c:pt idx="0">
                  <c:v>3.12</c:v>
                </c:pt>
                <c:pt idx="1">
                  <c:v>3.22</c:v>
                </c:pt>
                <c:pt idx="2">
                  <c:v>3.18</c:v>
                </c:pt>
                <c:pt idx="3">
                  <c:v>3.19</c:v>
                </c:pt>
                <c:pt idx="4">
                  <c:v>3.17</c:v>
                </c:pt>
                <c:pt idx="5">
                  <c:v>3.04</c:v>
                </c:pt>
                <c:pt idx="6">
                  <c:v>2.9</c:v>
                </c:pt>
                <c:pt idx="7">
                  <c:v>2.809999999999999</c:v>
                </c:pt>
                <c:pt idx="8">
                  <c:v>2.72</c:v>
                </c:pt>
                <c:pt idx="9">
                  <c:v>2.75</c:v>
                </c:pt>
                <c:pt idx="10">
                  <c:v>2.57</c:v>
                </c:pt>
                <c:pt idx="11">
                  <c:v>2.36</c:v>
                </c:pt>
                <c:pt idx="12">
                  <c:v>2.15</c:v>
                </c:pt>
                <c:pt idx="13">
                  <c:v>1.9</c:v>
                </c:pt>
                <c:pt idx="14">
                  <c:v>1.770000000000001</c:v>
                </c:pt>
                <c:pt idx="15">
                  <c:v>1.66</c:v>
                </c:pt>
                <c:pt idx="16">
                  <c:v>1.63</c:v>
                </c:pt>
                <c:pt idx="17">
                  <c:v>1.58</c:v>
                </c:pt>
                <c:pt idx="18">
                  <c:v>1.58</c:v>
                </c:pt>
                <c:pt idx="19">
                  <c:v>1.56</c:v>
                </c:pt>
                <c:pt idx="20">
                  <c:v>1.6</c:v>
                </c:pt>
                <c:pt idx="21">
                  <c:v>1.56</c:v>
                </c:pt>
                <c:pt idx="22">
                  <c:v>1.5</c:v>
                </c:pt>
                <c:pt idx="23">
                  <c:v>1.47</c:v>
                </c:pt>
                <c:pt idx="24">
                  <c:v>1.49</c:v>
                </c:pt>
                <c:pt idx="25">
                  <c:v>1.51</c:v>
                </c:pt>
                <c:pt idx="26">
                  <c:v>1.55</c:v>
                </c:pt>
                <c:pt idx="27">
                  <c:v>1.56</c:v>
                </c:pt>
                <c:pt idx="28">
                  <c:v>1.55</c:v>
                </c:pt>
                <c:pt idx="29">
                  <c:v>1.55</c:v>
                </c:pt>
                <c:pt idx="30">
                  <c:v>1.62</c:v>
                </c:pt>
                <c:pt idx="31">
                  <c:v>1.61</c:v>
                </c:pt>
                <c:pt idx="32">
                  <c:v>1.59</c:v>
                </c:pt>
                <c:pt idx="33">
                  <c:v>1.57</c:v>
                </c:pt>
                <c:pt idx="34">
                  <c:v>1.57</c:v>
                </c:pt>
                <c:pt idx="35">
                  <c:v>1.53</c:v>
                </c:pt>
                <c:pt idx="36">
                  <c:v>1.53</c:v>
                </c:pt>
                <c:pt idx="37">
                  <c:v>1.56</c:v>
                </c:pt>
                <c:pt idx="38">
                  <c:v>1.63</c:v>
                </c:pt>
                <c:pt idx="39">
                  <c:v>1.65</c:v>
                </c:pt>
                <c:pt idx="40">
                  <c:v>1.720000000000001</c:v>
                </c:pt>
                <c:pt idx="41">
                  <c:v>1.710000000000001</c:v>
                </c:pt>
                <c:pt idx="42">
                  <c:v>1.730000000000001</c:v>
                </c:pt>
                <c:pt idx="43">
                  <c:v>1.750000000000001</c:v>
                </c:pt>
                <c:pt idx="44">
                  <c:v>1.720000000000001</c:v>
                </c:pt>
                <c:pt idx="45">
                  <c:v>1.710000000000001</c:v>
                </c:pt>
                <c:pt idx="46">
                  <c:v>1.720000000000001</c:v>
                </c:pt>
                <c:pt idx="47">
                  <c:v>1.720000000000001</c:v>
                </c:pt>
                <c:pt idx="48">
                  <c:v>1.770000000000001</c:v>
                </c:pt>
                <c:pt idx="49">
                  <c:v>1.790000000000001</c:v>
                </c:pt>
                <c:pt idx="50">
                  <c:v>1.790000000000001</c:v>
                </c:pt>
                <c:pt idx="51">
                  <c:v>1.760000000000001</c:v>
                </c:pt>
              </c:numCache>
            </c:numRef>
          </c:val>
          <c:smooth val="0"/>
        </c:ser>
        <c:ser>
          <c:idx val="9"/>
          <c:order val="9"/>
          <c:tx>
            <c:strRef>
              <c:f>Feuil1!$A$13</c:f>
              <c:strCache>
                <c:ptCount val="1"/>
                <c:pt idx="0">
                  <c:v>Portugal</c:v>
                </c:pt>
              </c:strCache>
            </c:strRef>
          </c:tx>
          <c:spPr>
            <a:ln w="19050">
              <a:solidFill>
                <a:sysClr val="windowText" lastClr="000000"/>
              </a:solidFill>
              <a:prstDash val="sysDash"/>
            </a:ln>
          </c:spPr>
          <c:marker>
            <c:symbol val="none"/>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Feuil1!$B$13:$BA$13</c:f>
              <c:numCache>
                <c:formatCode>#,##0.00</c:formatCode>
                <c:ptCount val="52"/>
                <c:pt idx="0">
                  <c:v>3.16</c:v>
                </c:pt>
                <c:pt idx="1">
                  <c:v>3.21</c:v>
                </c:pt>
                <c:pt idx="2">
                  <c:v>3.23</c:v>
                </c:pt>
                <c:pt idx="3">
                  <c:v>3.12</c:v>
                </c:pt>
                <c:pt idx="4">
                  <c:v>3.21</c:v>
                </c:pt>
                <c:pt idx="5">
                  <c:v>3.15</c:v>
                </c:pt>
                <c:pt idx="6">
                  <c:v>3.16</c:v>
                </c:pt>
                <c:pt idx="7">
                  <c:v>3.16</c:v>
                </c:pt>
                <c:pt idx="8">
                  <c:v>3.12</c:v>
                </c:pt>
                <c:pt idx="9">
                  <c:v>3.12</c:v>
                </c:pt>
                <c:pt idx="10">
                  <c:v>3.01</c:v>
                </c:pt>
                <c:pt idx="11">
                  <c:v>3.0</c:v>
                </c:pt>
                <c:pt idx="12">
                  <c:v>2.86</c:v>
                </c:pt>
                <c:pt idx="13">
                  <c:v>2.77</c:v>
                </c:pt>
                <c:pt idx="14">
                  <c:v>2.7</c:v>
                </c:pt>
                <c:pt idx="15">
                  <c:v>2.75</c:v>
                </c:pt>
                <c:pt idx="16">
                  <c:v>2.82</c:v>
                </c:pt>
                <c:pt idx="17">
                  <c:v>2.69</c:v>
                </c:pt>
                <c:pt idx="18">
                  <c:v>2.45</c:v>
                </c:pt>
                <c:pt idx="19">
                  <c:v>2.309999999999999</c:v>
                </c:pt>
                <c:pt idx="20">
                  <c:v>2.25</c:v>
                </c:pt>
                <c:pt idx="21">
                  <c:v>2.13</c:v>
                </c:pt>
                <c:pt idx="22">
                  <c:v>2.07</c:v>
                </c:pt>
                <c:pt idx="23">
                  <c:v>1.950000000000002</c:v>
                </c:pt>
                <c:pt idx="24">
                  <c:v>1.9</c:v>
                </c:pt>
                <c:pt idx="25">
                  <c:v>1.720000000000001</c:v>
                </c:pt>
                <c:pt idx="26">
                  <c:v>1.66</c:v>
                </c:pt>
                <c:pt idx="27">
                  <c:v>1.62</c:v>
                </c:pt>
                <c:pt idx="28">
                  <c:v>1.61</c:v>
                </c:pt>
                <c:pt idx="29">
                  <c:v>1.57</c:v>
                </c:pt>
                <c:pt idx="30">
                  <c:v>1.56</c:v>
                </c:pt>
                <c:pt idx="31">
                  <c:v>1.56</c:v>
                </c:pt>
                <c:pt idx="32">
                  <c:v>1.53</c:v>
                </c:pt>
                <c:pt idx="33">
                  <c:v>1.51</c:v>
                </c:pt>
                <c:pt idx="34">
                  <c:v>1.44</c:v>
                </c:pt>
                <c:pt idx="35">
                  <c:v>1.41</c:v>
                </c:pt>
                <c:pt idx="36">
                  <c:v>1.44</c:v>
                </c:pt>
                <c:pt idx="37">
                  <c:v>1.47</c:v>
                </c:pt>
                <c:pt idx="38">
                  <c:v>1.47</c:v>
                </c:pt>
                <c:pt idx="39">
                  <c:v>1.5</c:v>
                </c:pt>
                <c:pt idx="40">
                  <c:v>1.55</c:v>
                </c:pt>
                <c:pt idx="41">
                  <c:v>1.45</c:v>
                </c:pt>
                <c:pt idx="42">
                  <c:v>1.47</c:v>
                </c:pt>
                <c:pt idx="43">
                  <c:v>1.44</c:v>
                </c:pt>
                <c:pt idx="44">
                  <c:v>1.4</c:v>
                </c:pt>
                <c:pt idx="45">
                  <c:v>1.4</c:v>
                </c:pt>
                <c:pt idx="46">
                  <c:v>1.36</c:v>
                </c:pt>
                <c:pt idx="47">
                  <c:v>1.33</c:v>
                </c:pt>
                <c:pt idx="48">
                  <c:v>1.37</c:v>
                </c:pt>
                <c:pt idx="49">
                  <c:v>1.32</c:v>
                </c:pt>
                <c:pt idx="50">
                  <c:v>1.36</c:v>
                </c:pt>
                <c:pt idx="51">
                  <c:v>1.35</c:v>
                </c:pt>
              </c:numCache>
            </c:numRef>
          </c:val>
          <c:smooth val="0"/>
        </c:ser>
        <c:ser>
          <c:idx val="10"/>
          <c:order val="10"/>
          <c:tx>
            <c:strRef>
              <c:f>Feuil1!$A$14</c:f>
              <c:strCache>
                <c:ptCount val="1"/>
                <c:pt idx="0">
                  <c:v>RFA</c:v>
                </c:pt>
              </c:strCache>
            </c:strRef>
          </c:tx>
          <c:spPr>
            <a:ln w="19050">
              <a:solidFill>
                <a:sysClr val="windowText" lastClr="000000"/>
              </a:solidFill>
            </a:ln>
          </c:spPr>
          <c:marker>
            <c:symbol val="none"/>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Feuil1!$B$14:$BA$14</c:f>
              <c:numCache>
                <c:formatCode>#,##0.00</c:formatCode>
                <c:ptCount val="52"/>
                <c:pt idx="0">
                  <c:v>2.37</c:v>
                </c:pt>
                <c:pt idx="1">
                  <c:v>2.46</c:v>
                </c:pt>
                <c:pt idx="2">
                  <c:v>2.44</c:v>
                </c:pt>
                <c:pt idx="3">
                  <c:v>2.52</c:v>
                </c:pt>
                <c:pt idx="4">
                  <c:v>2.54</c:v>
                </c:pt>
                <c:pt idx="5">
                  <c:v>2.51</c:v>
                </c:pt>
                <c:pt idx="6">
                  <c:v>2.53</c:v>
                </c:pt>
                <c:pt idx="7">
                  <c:v>2.49</c:v>
                </c:pt>
                <c:pt idx="8">
                  <c:v>2.38</c:v>
                </c:pt>
                <c:pt idx="9">
                  <c:v>2.21</c:v>
                </c:pt>
                <c:pt idx="10">
                  <c:v>2.02</c:v>
                </c:pt>
                <c:pt idx="11">
                  <c:v>1.920000000000002</c:v>
                </c:pt>
                <c:pt idx="12">
                  <c:v>1.710000000000001</c:v>
                </c:pt>
                <c:pt idx="13">
                  <c:v>1.54</c:v>
                </c:pt>
                <c:pt idx="14">
                  <c:v>1.51</c:v>
                </c:pt>
                <c:pt idx="15">
                  <c:v>1.45</c:v>
                </c:pt>
                <c:pt idx="16">
                  <c:v>1.45</c:v>
                </c:pt>
                <c:pt idx="17">
                  <c:v>1.4</c:v>
                </c:pt>
                <c:pt idx="18">
                  <c:v>1.38</c:v>
                </c:pt>
                <c:pt idx="19">
                  <c:v>1.38</c:v>
                </c:pt>
                <c:pt idx="20">
                  <c:v>1.44</c:v>
                </c:pt>
                <c:pt idx="21">
                  <c:v>1.44</c:v>
                </c:pt>
                <c:pt idx="22">
                  <c:v>1.41</c:v>
                </c:pt>
                <c:pt idx="23">
                  <c:v>1.33</c:v>
                </c:pt>
                <c:pt idx="24">
                  <c:v>1.29</c:v>
                </c:pt>
                <c:pt idx="25">
                  <c:v>1.28</c:v>
                </c:pt>
                <c:pt idx="26">
                  <c:v>1.35</c:v>
                </c:pt>
                <c:pt idx="27">
                  <c:v>1.37</c:v>
                </c:pt>
                <c:pt idx="28">
                  <c:v>1.41</c:v>
                </c:pt>
                <c:pt idx="29">
                  <c:v>1.4</c:v>
                </c:pt>
                <c:pt idx="30">
                  <c:v>1.45</c:v>
                </c:pt>
                <c:pt idx="31">
                  <c:v>1.33</c:v>
                </c:pt>
                <c:pt idx="32">
                  <c:v>1.29</c:v>
                </c:pt>
                <c:pt idx="33">
                  <c:v>1.28</c:v>
                </c:pt>
                <c:pt idx="34">
                  <c:v>1.24</c:v>
                </c:pt>
                <c:pt idx="35">
                  <c:v>1.25</c:v>
                </c:pt>
                <c:pt idx="36">
                  <c:v>1.32</c:v>
                </c:pt>
                <c:pt idx="37">
                  <c:v>1.37</c:v>
                </c:pt>
                <c:pt idx="38">
                  <c:v>1.36</c:v>
                </c:pt>
                <c:pt idx="39">
                  <c:v>1.36</c:v>
                </c:pt>
                <c:pt idx="40">
                  <c:v>1.38</c:v>
                </c:pt>
                <c:pt idx="41">
                  <c:v>1.35</c:v>
                </c:pt>
                <c:pt idx="42">
                  <c:v>1.34</c:v>
                </c:pt>
                <c:pt idx="43">
                  <c:v>1.34</c:v>
                </c:pt>
                <c:pt idx="44">
                  <c:v>1.36</c:v>
                </c:pt>
                <c:pt idx="45">
                  <c:v>1.34</c:v>
                </c:pt>
                <c:pt idx="46">
                  <c:v>1.33</c:v>
                </c:pt>
                <c:pt idx="47">
                  <c:v>1.37</c:v>
                </c:pt>
                <c:pt idx="48">
                  <c:v>1.38</c:v>
                </c:pt>
                <c:pt idx="49">
                  <c:v>1.36</c:v>
                </c:pt>
                <c:pt idx="50">
                  <c:v>1.39</c:v>
                </c:pt>
                <c:pt idx="51">
                  <c:v>1.36</c:v>
                </c:pt>
              </c:numCache>
            </c:numRef>
          </c:val>
          <c:smooth val="0"/>
        </c:ser>
        <c:ser>
          <c:idx val="11"/>
          <c:order val="11"/>
          <c:tx>
            <c:strRef>
              <c:f>Feuil1!$A$15</c:f>
              <c:strCache>
                <c:ptCount val="1"/>
                <c:pt idx="0">
                  <c:v>Royaume-Uni</c:v>
                </c:pt>
              </c:strCache>
            </c:strRef>
          </c:tx>
          <c:spPr>
            <a:ln w="19050">
              <a:solidFill>
                <a:sysClr val="windowText" lastClr="000000"/>
              </a:solidFill>
            </a:ln>
          </c:spPr>
          <c:marker>
            <c:symbol val="plus"/>
            <c:size val="4"/>
            <c:spPr>
              <a:solidFill>
                <a:schemeClr val="bg1"/>
              </a:solidFill>
              <a:ln>
                <a:solidFill>
                  <a:sysClr val="windowText" lastClr="000000"/>
                </a:solidFill>
              </a:ln>
            </c:spPr>
          </c:marker>
          <c:cat>
            <c:strRef>
              <c:f>Feuil1!$B$3:$BA$3</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Feuil1!$B$15:$BA$15</c:f>
              <c:numCache>
                <c:formatCode>General</c:formatCode>
                <c:ptCount val="52"/>
                <c:pt idx="13" formatCode="#,##0.00">
                  <c:v>2.04</c:v>
                </c:pt>
                <c:pt idx="14" formatCode="#,##0.00">
                  <c:v>1.920000000000002</c:v>
                </c:pt>
                <c:pt idx="15" formatCode="#,##0.00">
                  <c:v>1.81</c:v>
                </c:pt>
                <c:pt idx="16" formatCode="#,##0.00">
                  <c:v>1.740000000000001</c:v>
                </c:pt>
                <c:pt idx="17" formatCode="#,##0.00">
                  <c:v>1.690000000000003</c:v>
                </c:pt>
                <c:pt idx="18" formatCode="#,##0.00">
                  <c:v>1.750000000000001</c:v>
                </c:pt>
                <c:pt idx="19" formatCode="#,##0.00">
                  <c:v>1.86</c:v>
                </c:pt>
                <c:pt idx="20" formatCode="#,##0.00">
                  <c:v>1.9</c:v>
                </c:pt>
                <c:pt idx="21" formatCode="#,##0.00">
                  <c:v>1.82</c:v>
                </c:pt>
                <c:pt idx="22" formatCode="#,##0.00">
                  <c:v>1.780000000000001</c:v>
                </c:pt>
                <c:pt idx="23" formatCode="#,##0.00">
                  <c:v>1.770000000000001</c:v>
                </c:pt>
                <c:pt idx="24" formatCode="#,##0.00">
                  <c:v>1.770000000000001</c:v>
                </c:pt>
                <c:pt idx="25" formatCode="#,##0.00">
                  <c:v>1.790000000000001</c:v>
                </c:pt>
                <c:pt idx="26" formatCode="#,##0.00">
                  <c:v>1.780000000000001</c:v>
                </c:pt>
                <c:pt idx="27" formatCode="#,##0.00">
                  <c:v>1.81</c:v>
                </c:pt>
                <c:pt idx="28" formatCode="#,##0.00">
                  <c:v>1.82</c:v>
                </c:pt>
                <c:pt idx="29" formatCode="#,##0.00">
                  <c:v>1.790000000000001</c:v>
                </c:pt>
                <c:pt idx="30" formatCode="#,##0.00">
                  <c:v>1.83</c:v>
                </c:pt>
                <c:pt idx="31" formatCode="#,##0.00">
                  <c:v>1.82</c:v>
                </c:pt>
                <c:pt idx="32" formatCode="#,##0.00">
                  <c:v>1.790000000000001</c:v>
                </c:pt>
                <c:pt idx="33" formatCode="#,##0.00">
                  <c:v>1.760000000000001</c:v>
                </c:pt>
                <c:pt idx="34" formatCode="#,##0.00">
                  <c:v>1.740000000000001</c:v>
                </c:pt>
                <c:pt idx="35" formatCode="#,##0.00">
                  <c:v>1.710000000000001</c:v>
                </c:pt>
                <c:pt idx="36" formatCode="#,##0.00">
                  <c:v>1.730000000000001</c:v>
                </c:pt>
                <c:pt idx="37" formatCode="#,##0.00">
                  <c:v>1.720000000000001</c:v>
                </c:pt>
                <c:pt idx="38" formatCode="#,##0.00">
                  <c:v>1.710000000000001</c:v>
                </c:pt>
                <c:pt idx="39" formatCode="#,##0.00">
                  <c:v>1.680000000000003</c:v>
                </c:pt>
                <c:pt idx="40" formatCode="#,##0.00">
                  <c:v>1.64</c:v>
                </c:pt>
                <c:pt idx="41" formatCode="#,##0.00">
                  <c:v>1.63</c:v>
                </c:pt>
                <c:pt idx="42" formatCode="#,##0.00">
                  <c:v>1.64</c:v>
                </c:pt>
                <c:pt idx="43" formatCode="#,##0.00">
                  <c:v>1.710000000000001</c:v>
                </c:pt>
                <c:pt idx="44" formatCode="#,##0.00">
                  <c:v>1.770000000000001</c:v>
                </c:pt>
                <c:pt idx="45" formatCode="#,##0.00">
                  <c:v>1.780000000000001</c:v>
                </c:pt>
                <c:pt idx="46" formatCode="#,##0.00">
                  <c:v>1.84</c:v>
                </c:pt>
                <c:pt idx="47" formatCode="#,##0.00">
                  <c:v>1.9</c:v>
                </c:pt>
                <c:pt idx="48" formatCode="#,##0.00">
                  <c:v>1.960000000000002</c:v>
                </c:pt>
                <c:pt idx="49" formatCode="#,##0.00">
                  <c:v>1.940000000000002</c:v>
                </c:pt>
                <c:pt idx="50" formatCode="#,##0.00">
                  <c:v>1.980000000000002</c:v>
                </c:pt>
              </c:numCache>
            </c:numRef>
          </c:val>
          <c:smooth val="0"/>
        </c:ser>
        <c:dLbls>
          <c:showLegendKey val="0"/>
          <c:showVal val="0"/>
          <c:showCatName val="0"/>
          <c:showSerName val="0"/>
          <c:showPercent val="0"/>
          <c:showBubbleSize val="0"/>
        </c:dLbls>
        <c:marker val="1"/>
        <c:smooth val="0"/>
        <c:axId val="2046689560"/>
        <c:axId val="2046695160"/>
      </c:lineChart>
      <c:catAx>
        <c:axId val="2046689560"/>
        <c:scaling>
          <c:orientation val="minMax"/>
        </c:scaling>
        <c:delete val="0"/>
        <c:axPos val="b"/>
        <c:majorTickMark val="out"/>
        <c:minorTickMark val="none"/>
        <c:tickLblPos val="nextTo"/>
        <c:txPr>
          <a:bodyPr/>
          <a:lstStyle/>
          <a:p>
            <a:pPr>
              <a:defRPr>
                <a:latin typeface="+mj-lt"/>
              </a:defRPr>
            </a:pPr>
            <a:endParaRPr lang="fr-FR"/>
          </a:p>
        </c:txPr>
        <c:crossAx val="2046695160"/>
        <c:crosses val="autoZero"/>
        <c:auto val="1"/>
        <c:lblAlgn val="ctr"/>
        <c:lblOffset val="100"/>
        <c:noMultiLvlLbl val="0"/>
      </c:catAx>
      <c:valAx>
        <c:axId val="2046695160"/>
        <c:scaling>
          <c:orientation val="minMax"/>
        </c:scaling>
        <c:delete val="0"/>
        <c:axPos val="l"/>
        <c:majorGridlines/>
        <c:numFmt formatCode="#,##0.00" sourceLinked="1"/>
        <c:majorTickMark val="out"/>
        <c:minorTickMark val="none"/>
        <c:tickLblPos val="nextTo"/>
        <c:txPr>
          <a:bodyPr/>
          <a:lstStyle/>
          <a:p>
            <a:pPr>
              <a:defRPr>
                <a:latin typeface="+mj-lt"/>
              </a:defRPr>
            </a:pPr>
            <a:endParaRPr lang="fr-FR"/>
          </a:p>
        </c:txPr>
        <c:crossAx val="2046689560"/>
        <c:crosses val="autoZero"/>
        <c:crossBetween val="between"/>
      </c:valAx>
    </c:plotArea>
    <c:legend>
      <c:legendPos val="r"/>
      <c:layout/>
      <c:overlay val="0"/>
      <c:txPr>
        <a:bodyPr/>
        <a:lstStyle/>
        <a:p>
          <a:pPr>
            <a:defRPr>
              <a:latin typeface="+mj-lt"/>
            </a:defRPr>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Feuil2!$A$4</c:f>
              <c:strCache>
                <c:ptCount val="1"/>
                <c:pt idx="0">
                  <c:v>15-64</c:v>
                </c:pt>
              </c:strCache>
            </c:strRef>
          </c:tx>
          <c:spPr>
            <a:ln w="19050">
              <a:solidFill>
                <a:sysClr val="windowText" lastClr="000000"/>
              </a:solidFill>
            </a:ln>
          </c:spPr>
          <c:marker>
            <c:symbol val="none"/>
          </c:marker>
          <c:cat>
            <c:strRef>
              <c:f>Feuil2!$B$3:$AD$3</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Feuil2!$B$4:$AD$4</c:f>
              <c:numCache>
                <c:formatCode>#,##0.0</c:formatCode>
                <c:ptCount val="29"/>
                <c:pt idx="0">
                  <c:v>45.2</c:v>
                </c:pt>
                <c:pt idx="1">
                  <c:v>46.6</c:v>
                </c:pt>
                <c:pt idx="2">
                  <c:v>47.3</c:v>
                </c:pt>
                <c:pt idx="3">
                  <c:v>48.1</c:v>
                </c:pt>
                <c:pt idx="4">
                  <c:v>48.5</c:v>
                </c:pt>
                <c:pt idx="5">
                  <c:v>49.5</c:v>
                </c:pt>
                <c:pt idx="6">
                  <c:v>50.3</c:v>
                </c:pt>
                <c:pt idx="7">
                  <c:v>54.0</c:v>
                </c:pt>
                <c:pt idx="8">
                  <c:v>57.2</c:v>
                </c:pt>
                <c:pt idx="9">
                  <c:v>56.0</c:v>
                </c:pt>
                <c:pt idx="10">
                  <c:v>55.0</c:v>
                </c:pt>
                <c:pt idx="11">
                  <c:v>55.0</c:v>
                </c:pt>
                <c:pt idx="12">
                  <c:v>55.3</c:v>
                </c:pt>
                <c:pt idx="13">
                  <c:v>55.4</c:v>
                </c:pt>
                <c:pt idx="14">
                  <c:v>55.2</c:v>
                </c:pt>
                <c:pt idx="15">
                  <c:v>55.6</c:v>
                </c:pt>
                <c:pt idx="16">
                  <c:v>57.1</c:v>
                </c:pt>
                <c:pt idx="17">
                  <c:v>57.8</c:v>
                </c:pt>
                <c:pt idx="18">
                  <c:v>58.7</c:v>
                </c:pt>
                <c:pt idx="19">
                  <c:v>58.8</c:v>
                </c:pt>
                <c:pt idx="20">
                  <c:v>58.9</c:v>
                </c:pt>
                <c:pt idx="21">
                  <c:v>58.5</c:v>
                </c:pt>
                <c:pt idx="22">
                  <c:v>59.6</c:v>
                </c:pt>
                <c:pt idx="23">
                  <c:v>61.5</c:v>
                </c:pt>
                <c:pt idx="24">
                  <c:v>63.2</c:v>
                </c:pt>
                <c:pt idx="25">
                  <c:v>64.3</c:v>
                </c:pt>
                <c:pt idx="26">
                  <c:v>65.2</c:v>
                </c:pt>
                <c:pt idx="27">
                  <c:v>66.1</c:v>
                </c:pt>
                <c:pt idx="28">
                  <c:v>67.7</c:v>
                </c:pt>
              </c:numCache>
            </c:numRef>
          </c:val>
          <c:smooth val="0"/>
        </c:ser>
        <c:ser>
          <c:idx val="1"/>
          <c:order val="1"/>
          <c:tx>
            <c:strRef>
              <c:f>Feuil2!$A$5</c:f>
              <c:strCache>
                <c:ptCount val="1"/>
                <c:pt idx="0">
                  <c:v>15-24</c:v>
                </c:pt>
              </c:strCache>
            </c:strRef>
          </c:tx>
          <c:spPr>
            <a:ln w="12700">
              <a:solidFill>
                <a:sysClr val="windowText" lastClr="000000"/>
              </a:solidFill>
              <a:prstDash val="sysDash"/>
            </a:ln>
          </c:spPr>
          <c:marker>
            <c:symbol val="none"/>
          </c:marker>
          <c:cat>
            <c:strRef>
              <c:f>Feuil2!$B$3:$AD$3</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Feuil2!$B$5:$AD$5</c:f>
              <c:numCache>
                <c:formatCode>#,##0.0</c:formatCode>
                <c:ptCount val="29"/>
                <c:pt idx="0">
                  <c:v>41.9</c:v>
                </c:pt>
                <c:pt idx="1">
                  <c:v>48.3</c:v>
                </c:pt>
                <c:pt idx="2">
                  <c:v>49.9</c:v>
                </c:pt>
                <c:pt idx="3">
                  <c:v>51.7</c:v>
                </c:pt>
                <c:pt idx="4">
                  <c:v>52.6</c:v>
                </c:pt>
                <c:pt idx="5">
                  <c:v>53.7</c:v>
                </c:pt>
                <c:pt idx="6">
                  <c:v>54.3</c:v>
                </c:pt>
                <c:pt idx="7">
                  <c:v>56.0</c:v>
                </c:pt>
                <c:pt idx="8">
                  <c:v>55.1</c:v>
                </c:pt>
                <c:pt idx="9">
                  <c:v>52.7</c:v>
                </c:pt>
                <c:pt idx="10">
                  <c:v>49.8</c:v>
                </c:pt>
                <c:pt idx="11">
                  <c:v>48.4</c:v>
                </c:pt>
                <c:pt idx="12">
                  <c:v>46.2</c:v>
                </c:pt>
                <c:pt idx="13">
                  <c:v>43.0</c:v>
                </c:pt>
                <c:pt idx="14">
                  <c:v>41.9</c:v>
                </c:pt>
                <c:pt idx="15">
                  <c:v>42.5</c:v>
                </c:pt>
                <c:pt idx="16">
                  <c:v>43.9</c:v>
                </c:pt>
                <c:pt idx="17">
                  <c:v>43.6</c:v>
                </c:pt>
                <c:pt idx="18">
                  <c:v>44.3</c:v>
                </c:pt>
                <c:pt idx="19">
                  <c:v>43.8</c:v>
                </c:pt>
                <c:pt idx="20">
                  <c:v>43.0</c:v>
                </c:pt>
                <c:pt idx="21">
                  <c:v>39.8</c:v>
                </c:pt>
                <c:pt idx="22">
                  <c:v>40.2</c:v>
                </c:pt>
                <c:pt idx="23">
                  <c:v>41.6</c:v>
                </c:pt>
                <c:pt idx="24">
                  <c:v>43.5</c:v>
                </c:pt>
                <c:pt idx="25">
                  <c:v>44.5</c:v>
                </c:pt>
                <c:pt idx="26">
                  <c:v>44.4</c:v>
                </c:pt>
                <c:pt idx="27">
                  <c:v>44.6</c:v>
                </c:pt>
                <c:pt idx="28">
                  <c:v>46.1</c:v>
                </c:pt>
              </c:numCache>
            </c:numRef>
          </c:val>
          <c:smooth val="0"/>
        </c:ser>
        <c:ser>
          <c:idx val="2"/>
          <c:order val="2"/>
          <c:tx>
            <c:strRef>
              <c:f>Feuil2!$A$6</c:f>
              <c:strCache>
                <c:ptCount val="1"/>
                <c:pt idx="0">
                  <c:v>25-54</c:v>
                </c:pt>
              </c:strCache>
            </c:strRef>
          </c:tx>
          <c:spPr>
            <a:ln w="19050">
              <a:solidFill>
                <a:sysClr val="windowText" lastClr="000000"/>
              </a:solidFill>
              <a:prstDash val="dash"/>
            </a:ln>
          </c:spPr>
          <c:marker>
            <c:symbol val="none"/>
          </c:marker>
          <c:cat>
            <c:strRef>
              <c:f>Feuil2!$B$3:$AD$3</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Feuil2!$B$6:$AD$6</c:f>
              <c:numCache>
                <c:formatCode>#,##0.0</c:formatCode>
                <c:ptCount val="29"/>
                <c:pt idx="0">
                  <c:v>52.7</c:v>
                </c:pt>
                <c:pt idx="1">
                  <c:v>53.5</c:v>
                </c:pt>
                <c:pt idx="2">
                  <c:v>54.4</c:v>
                </c:pt>
                <c:pt idx="3">
                  <c:v>54.8</c:v>
                </c:pt>
                <c:pt idx="4">
                  <c:v>54.9</c:v>
                </c:pt>
                <c:pt idx="5">
                  <c:v>56.0</c:v>
                </c:pt>
                <c:pt idx="6">
                  <c:v>57.0</c:v>
                </c:pt>
                <c:pt idx="7">
                  <c:v>61.5</c:v>
                </c:pt>
                <c:pt idx="8">
                  <c:v>67.1</c:v>
                </c:pt>
                <c:pt idx="9">
                  <c:v>66.2</c:v>
                </c:pt>
                <c:pt idx="10">
                  <c:v>65.3</c:v>
                </c:pt>
                <c:pt idx="11">
                  <c:v>65.7</c:v>
                </c:pt>
                <c:pt idx="12">
                  <c:v>66.3</c:v>
                </c:pt>
                <c:pt idx="13">
                  <c:v>67.0</c:v>
                </c:pt>
                <c:pt idx="14">
                  <c:v>67.2</c:v>
                </c:pt>
                <c:pt idx="15">
                  <c:v>68.0</c:v>
                </c:pt>
                <c:pt idx="16">
                  <c:v>69.9</c:v>
                </c:pt>
                <c:pt idx="17">
                  <c:v>71.1</c:v>
                </c:pt>
                <c:pt idx="18">
                  <c:v>71.7</c:v>
                </c:pt>
                <c:pt idx="19">
                  <c:v>71.8</c:v>
                </c:pt>
                <c:pt idx="20">
                  <c:v>71.6</c:v>
                </c:pt>
                <c:pt idx="21">
                  <c:v>71.1</c:v>
                </c:pt>
                <c:pt idx="22">
                  <c:v>71.0</c:v>
                </c:pt>
                <c:pt idx="23">
                  <c:v>72.7</c:v>
                </c:pt>
                <c:pt idx="24">
                  <c:v>74.0</c:v>
                </c:pt>
                <c:pt idx="25">
                  <c:v>74.7</c:v>
                </c:pt>
                <c:pt idx="26">
                  <c:v>75.4</c:v>
                </c:pt>
                <c:pt idx="27">
                  <c:v>76.3</c:v>
                </c:pt>
                <c:pt idx="28">
                  <c:v>77.8</c:v>
                </c:pt>
              </c:numCache>
            </c:numRef>
          </c:val>
          <c:smooth val="0"/>
        </c:ser>
        <c:ser>
          <c:idx val="3"/>
          <c:order val="3"/>
          <c:tx>
            <c:strRef>
              <c:f>Feuil2!$A$7</c:f>
              <c:strCache>
                <c:ptCount val="1"/>
                <c:pt idx="0">
                  <c:v>55-64</c:v>
                </c:pt>
              </c:strCache>
            </c:strRef>
          </c:tx>
          <c:spPr>
            <a:ln w="19050">
              <a:solidFill>
                <a:sysClr val="windowText" lastClr="000000"/>
              </a:solidFill>
              <a:prstDash val="lgDashDotDot"/>
            </a:ln>
          </c:spPr>
          <c:marker>
            <c:symbol val="none"/>
          </c:marker>
          <c:cat>
            <c:strRef>
              <c:f>Feuil2!$B$3:$AD$3</c:f>
              <c:strCache>
                <c:ptCount val="29"/>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strCache>
            </c:strRef>
          </c:cat>
          <c:val>
            <c:numRef>
              <c:f>Feuil2!$B$7:$AD$7</c:f>
              <c:numCache>
                <c:formatCode>#,##0.0</c:formatCode>
                <c:ptCount val="29"/>
                <c:pt idx="0">
                  <c:v>25.2</c:v>
                </c:pt>
                <c:pt idx="1">
                  <c:v>23.9</c:v>
                </c:pt>
                <c:pt idx="2">
                  <c:v>22.7</c:v>
                </c:pt>
                <c:pt idx="3">
                  <c:v>22.7</c:v>
                </c:pt>
                <c:pt idx="4">
                  <c:v>22.9</c:v>
                </c:pt>
                <c:pt idx="5">
                  <c:v>22.9</c:v>
                </c:pt>
                <c:pt idx="6">
                  <c:v>22.3</c:v>
                </c:pt>
                <c:pt idx="7">
                  <c:v>25.0</c:v>
                </c:pt>
                <c:pt idx="8">
                  <c:v>24.1</c:v>
                </c:pt>
                <c:pt idx="9">
                  <c:v>23.3</c:v>
                </c:pt>
                <c:pt idx="10">
                  <c:v>23.9</c:v>
                </c:pt>
                <c:pt idx="11">
                  <c:v>24.9</c:v>
                </c:pt>
                <c:pt idx="12">
                  <c:v>27.0</c:v>
                </c:pt>
                <c:pt idx="13">
                  <c:v>28.2</c:v>
                </c:pt>
                <c:pt idx="14">
                  <c:v>28.9</c:v>
                </c:pt>
                <c:pt idx="15">
                  <c:v>28.1</c:v>
                </c:pt>
                <c:pt idx="16">
                  <c:v>28.7</c:v>
                </c:pt>
                <c:pt idx="17">
                  <c:v>28.7</c:v>
                </c:pt>
                <c:pt idx="18">
                  <c:v>29.3</c:v>
                </c:pt>
                <c:pt idx="19">
                  <c:v>29.8</c:v>
                </c:pt>
                <c:pt idx="20">
                  <c:v>31.2</c:v>
                </c:pt>
                <c:pt idx="21">
                  <c:v>33.1</c:v>
                </c:pt>
                <c:pt idx="22">
                  <c:v>37.6</c:v>
                </c:pt>
                <c:pt idx="23">
                  <c:v>40.3</c:v>
                </c:pt>
                <c:pt idx="24">
                  <c:v>43.4</c:v>
                </c:pt>
                <c:pt idx="25">
                  <c:v>46.0</c:v>
                </c:pt>
                <c:pt idx="26">
                  <c:v>48.6</c:v>
                </c:pt>
                <c:pt idx="27">
                  <c:v>50.5</c:v>
                </c:pt>
                <c:pt idx="28">
                  <c:v>53.0</c:v>
                </c:pt>
              </c:numCache>
            </c:numRef>
          </c:val>
          <c:smooth val="0"/>
        </c:ser>
        <c:dLbls>
          <c:showLegendKey val="0"/>
          <c:showVal val="0"/>
          <c:showCatName val="0"/>
          <c:showSerName val="0"/>
          <c:showPercent val="0"/>
          <c:showBubbleSize val="0"/>
        </c:dLbls>
        <c:marker val="1"/>
        <c:smooth val="0"/>
        <c:axId val="2089729880"/>
        <c:axId val="2135106264"/>
      </c:lineChart>
      <c:catAx>
        <c:axId val="2089729880"/>
        <c:scaling>
          <c:orientation val="minMax"/>
        </c:scaling>
        <c:delete val="0"/>
        <c:axPos val="b"/>
        <c:majorTickMark val="out"/>
        <c:minorTickMark val="none"/>
        <c:tickLblPos val="nextTo"/>
        <c:txPr>
          <a:bodyPr/>
          <a:lstStyle/>
          <a:p>
            <a:pPr>
              <a:defRPr>
                <a:latin typeface="+mj-lt"/>
              </a:defRPr>
            </a:pPr>
            <a:endParaRPr lang="fr-FR"/>
          </a:p>
        </c:txPr>
        <c:crossAx val="2135106264"/>
        <c:crosses val="autoZero"/>
        <c:auto val="1"/>
        <c:lblAlgn val="ctr"/>
        <c:lblOffset val="100"/>
        <c:noMultiLvlLbl val="0"/>
      </c:catAx>
      <c:valAx>
        <c:axId val="2135106264"/>
        <c:scaling>
          <c:orientation val="minMax"/>
        </c:scaling>
        <c:delete val="0"/>
        <c:axPos val="l"/>
        <c:numFmt formatCode="#,##0.0" sourceLinked="1"/>
        <c:majorTickMark val="out"/>
        <c:minorTickMark val="none"/>
        <c:tickLblPos val="nextTo"/>
        <c:txPr>
          <a:bodyPr/>
          <a:lstStyle/>
          <a:p>
            <a:pPr>
              <a:defRPr>
                <a:latin typeface="+mj-lt"/>
              </a:defRPr>
            </a:pPr>
            <a:endParaRPr lang="fr-FR"/>
          </a:p>
        </c:txPr>
        <c:crossAx val="2089729880"/>
        <c:crosses val="autoZero"/>
        <c:crossBetween val="between"/>
      </c:valAx>
    </c:plotArea>
    <c:legend>
      <c:legendPos val="r"/>
      <c:layout/>
      <c:overlay val="0"/>
      <c:txPr>
        <a:bodyPr/>
        <a:lstStyle/>
        <a:p>
          <a:pPr>
            <a:defRPr>
              <a:latin typeface="+mj-lt"/>
            </a:defRPr>
          </a:pPr>
          <a:endParaRPr lang="fr-F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Feuil3!$A$30</c:f>
              <c:strCache>
                <c:ptCount val="1"/>
                <c:pt idx="0">
                  <c:v>1 enfant</c:v>
                </c:pt>
              </c:strCache>
            </c:strRef>
          </c:tx>
          <c:spPr>
            <a:solidFill>
              <a:schemeClr val="bg1">
                <a:lumMod val="65000"/>
              </a:schemeClr>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numRef>
              <c:f>Feuil3!$B$29:$C$29</c:f>
              <c:numCache>
                <c:formatCode>General</c:formatCode>
                <c:ptCount val="2"/>
                <c:pt idx="0">
                  <c:v>2005.0</c:v>
                </c:pt>
                <c:pt idx="1">
                  <c:v>2011.0</c:v>
                </c:pt>
              </c:numCache>
            </c:numRef>
          </c:cat>
          <c:val>
            <c:numRef>
              <c:f>Feuil3!$B$30:$C$30</c:f>
              <c:numCache>
                <c:formatCode>General</c:formatCode>
                <c:ptCount val="2"/>
                <c:pt idx="0">
                  <c:v>69.7</c:v>
                </c:pt>
                <c:pt idx="1">
                  <c:v>77.9</c:v>
                </c:pt>
              </c:numCache>
            </c:numRef>
          </c:val>
        </c:ser>
        <c:ser>
          <c:idx val="1"/>
          <c:order val="1"/>
          <c:tx>
            <c:strRef>
              <c:f>Feuil3!$A$31</c:f>
              <c:strCache>
                <c:ptCount val="1"/>
                <c:pt idx="0">
                  <c:v>2 enfants</c:v>
                </c:pt>
              </c:strCache>
            </c:strRef>
          </c:tx>
          <c:spPr>
            <a:solidFill>
              <a:schemeClr val="bg1">
                <a:lumMod val="85000"/>
              </a:schemeClr>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numRef>
              <c:f>Feuil3!$B$29:$C$29</c:f>
              <c:numCache>
                <c:formatCode>General</c:formatCode>
                <c:ptCount val="2"/>
                <c:pt idx="0">
                  <c:v>2005.0</c:v>
                </c:pt>
                <c:pt idx="1">
                  <c:v>2011.0</c:v>
                </c:pt>
              </c:numCache>
            </c:numRef>
          </c:cat>
          <c:val>
            <c:numRef>
              <c:f>Feuil3!$B$31:$C$31</c:f>
              <c:numCache>
                <c:formatCode>General</c:formatCode>
                <c:ptCount val="2"/>
                <c:pt idx="0">
                  <c:v>62.9</c:v>
                </c:pt>
                <c:pt idx="1">
                  <c:v>71.0</c:v>
                </c:pt>
              </c:numCache>
            </c:numRef>
          </c:val>
        </c:ser>
        <c:ser>
          <c:idx val="2"/>
          <c:order val="2"/>
          <c:tx>
            <c:strRef>
              <c:f>Feuil3!$A$32</c:f>
              <c:strCache>
                <c:ptCount val="1"/>
                <c:pt idx="0">
                  <c:v>3 enfants</c:v>
                </c:pt>
              </c:strCache>
            </c:strRef>
          </c:tx>
          <c:spPr>
            <a:solidFill>
              <a:schemeClr val="bg1"/>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numRef>
              <c:f>Feuil3!$B$29:$C$29</c:f>
              <c:numCache>
                <c:formatCode>General</c:formatCode>
                <c:ptCount val="2"/>
                <c:pt idx="0">
                  <c:v>2005.0</c:v>
                </c:pt>
                <c:pt idx="1">
                  <c:v>2011.0</c:v>
                </c:pt>
              </c:numCache>
            </c:numRef>
          </c:cat>
          <c:val>
            <c:numRef>
              <c:f>Feuil3!$B$32:$C$32</c:f>
              <c:numCache>
                <c:formatCode>General</c:formatCode>
                <c:ptCount val="2"/>
                <c:pt idx="0">
                  <c:v>44.6</c:v>
                </c:pt>
                <c:pt idx="1">
                  <c:v>54.9</c:v>
                </c:pt>
              </c:numCache>
            </c:numRef>
          </c:val>
        </c:ser>
        <c:dLbls>
          <c:showLegendKey val="0"/>
          <c:showVal val="0"/>
          <c:showCatName val="0"/>
          <c:showSerName val="0"/>
          <c:showPercent val="0"/>
          <c:showBubbleSize val="0"/>
        </c:dLbls>
        <c:gapWidth val="150"/>
        <c:axId val="2131981160"/>
        <c:axId val="2135479672"/>
      </c:barChart>
      <c:catAx>
        <c:axId val="2131981160"/>
        <c:scaling>
          <c:orientation val="minMax"/>
        </c:scaling>
        <c:delete val="0"/>
        <c:axPos val="b"/>
        <c:numFmt formatCode="General" sourceLinked="1"/>
        <c:majorTickMark val="out"/>
        <c:minorTickMark val="none"/>
        <c:tickLblPos val="nextTo"/>
        <c:txPr>
          <a:bodyPr/>
          <a:lstStyle/>
          <a:p>
            <a:pPr>
              <a:defRPr>
                <a:latin typeface="+mj-lt"/>
              </a:defRPr>
            </a:pPr>
            <a:endParaRPr lang="fr-FR"/>
          </a:p>
        </c:txPr>
        <c:crossAx val="2135479672"/>
        <c:crosses val="autoZero"/>
        <c:auto val="1"/>
        <c:lblAlgn val="ctr"/>
        <c:lblOffset val="100"/>
        <c:noMultiLvlLbl val="0"/>
      </c:catAx>
      <c:valAx>
        <c:axId val="2135479672"/>
        <c:scaling>
          <c:orientation val="minMax"/>
        </c:scaling>
        <c:delete val="0"/>
        <c:axPos val="l"/>
        <c:numFmt formatCode="General" sourceLinked="1"/>
        <c:majorTickMark val="out"/>
        <c:minorTickMark val="none"/>
        <c:tickLblPos val="nextTo"/>
        <c:txPr>
          <a:bodyPr/>
          <a:lstStyle/>
          <a:p>
            <a:pPr>
              <a:defRPr>
                <a:latin typeface="+mj-lt"/>
              </a:defRPr>
            </a:pPr>
            <a:endParaRPr lang="fr-FR"/>
          </a:p>
        </c:txPr>
        <c:crossAx val="2131981160"/>
        <c:crosses val="autoZero"/>
        <c:crossBetween val="between"/>
      </c:valAx>
    </c:plotArea>
    <c:legend>
      <c:legendPos val="r"/>
      <c:layout/>
      <c:overlay val="0"/>
      <c:txPr>
        <a:bodyPr/>
        <a:lstStyle/>
        <a:p>
          <a:pPr>
            <a:defRPr>
              <a:latin typeface="+mj-lt"/>
            </a:defRPr>
          </a:pPr>
          <a:endParaRPr lang="fr-F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Feuil3!$B$36</c:f>
              <c:strCache>
                <c:ptCount val="1"/>
                <c:pt idx="0">
                  <c:v>moins de 6</c:v>
                </c:pt>
              </c:strCache>
            </c:strRef>
          </c:tx>
          <c:spPr>
            <a:solidFill>
              <a:schemeClr val="bg1">
                <a:lumMod val="65000"/>
              </a:schemeClr>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numRef>
              <c:f>Feuil3!$A$37:$A$38</c:f>
              <c:numCache>
                <c:formatCode>General</c:formatCode>
                <c:ptCount val="2"/>
                <c:pt idx="0">
                  <c:v>2005.0</c:v>
                </c:pt>
                <c:pt idx="1">
                  <c:v>2011.0</c:v>
                </c:pt>
              </c:numCache>
            </c:numRef>
          </c:cat>
          <c:val>
            <c:numRef>
              <c:f>Feuil3!$B$37:$B$38</c:f>
              <c:numCache>
                <c:formatCode>General</c:formatCode>
                <c:ptCount val="2"/>
                <c:pt idx="0">
                  <c:v>48.6</c:v>
                </c:pt>
                <c:pt idx="1">
                  <c:v>62.0</c:v>
                </c:pt>
              </c:numCache>
            </c:numRef>
          </c:val>
        </c:ser>
        <c:ser>
          <c:idx val="1"/>
          <c:order val="1"/>
          <c:tx>
            <c:strRef>
              <c:f>Feuil3!$C$36</c:f>
              <c:strCache>
                <c:ptCount val="1"/>
                <c:pt idx="0">
                  <c:v>6 à 11</c:v>
                </c:pt>
              </c:strCache>
            </c:strRef>
          </c:tx>
          <c:spPr>
            <a:solidFill>
              <a:schemeClr val="bg1">
                <a:lumMod val="85000"/>
              </a:schemeClr>
            </a:solidFill>
            <a:ln>
              <a:solidFill>
                <a:schemeClr val="tx1"/>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numRef>
              <c:f>Feuil3!$A$37:$A$38</c:f>
              <c:numCache>
                <c:formatCode>General</c:formatCode>
                <c:ptCount val="2"/>
                <c:pt idx="0">
                  <c:v>2005.0</c:v>
                </c:pt>
                <c:pt idx="1">
                  <c:v>2011.0</c:v>
                </c:pt>
              </c:numCache>
            </c:numRef>
          </c:cat>
          <c:val>
            <c:numRef>
              <c:f>Feuil3!$C$37:$C$38</c:f>
              <c:numCache>
                <c:formatCode>General</c:formatCode>
                <c:ptCount val="2"/>
                <c:pt idx="0">
                  <c:v>68.3</c:v>
                </c:pt>
                <c:pt idx="1">
                  <c:v>76.1</c:v>
                </c:pt>
              </c:numCache>
            </c:numRef>
          </c:val>
        </c:ser>
        <c:ser>
          <c:idx val="2"/>
          <c:order val="2"/>
          <c:tx>
            <c:strRef>
              <c:f>Feuil3!$D$36</c:f>
              <c:strCache>
                <c:ptCount val="1"/>
                <c:pt idx="0">
                  <c:v>12 et plus</c:v>
                </c:pt>
              </c:strCache>
            </c:strRef>
          </c:tx>
          <c:spPr>
            <a:solidFill>
              <a:sysClr val="window" lastClr="FFFFFF"/>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numRef>
              <c:f>Feuil3!$A$37:$A$38</c:f>
              <c:numCache>
                <c:formatCode>General</c:formatCode>
                <c:ptCount val="2"/>
                <c:pt idx="0">
                  <c:v>2005.0</c:v>
                </c:pt>
                <c:pt idx="1">
                  <c:v>2011.0</c:v>
                </c:pt>
              </c:numCache>
            </c:numRef>
          </c:cat>
          <c:val>
            <c:numRef>
              <c:f>Feuil3!$D$37:$D$38</c:f>
              <c:numCache>
                <c:formatCode>General</c:formatCode>
                <c:ptCount val="2"/>
                <c:pt idx="0">
                  <c:v>76.6</c:v>
                </c:pt>
                <c:pt idx="1">
                  <c:v>81.7</c:v>
                </c:pt>
              </c:numCache>
            </c:numRef>
          </c:val>
        </c:ser>
        <c:dLbls>
          <c:showLegendKey val="0"/>
          <c:showVal val="0"/>
          <c:showCatName val="0"/>
          <c:showSerName val="0"/>
          <c:showPercent val="0"/>
          <c:showBubbleSize val="0"/>
        </c:dLbls>
        <c:gapWidth val="150"/>
        <c:axId val="2132728488"/>
        <c:axId val="2135419496"/>
      </c:barChart>
      <c:catAx>
        <c:axId val="2132728488"/>
        <c:scaling>
          <c:orientation val="minMax"/>
        </c:scaling>
        <c:delete val="0"/>
        <c:axPos val="b"/>
        <c:numFmt formatCode="General" sourceLinked="1"/>
        <c:majorTickMark val="out"/>
        <c:minorTickMark val="none"/>
        <c:tickLblPos val="nextTo"/>
        <c:txPr>
          <a:bodyPr/>
          <a:lstStyle/>
          <a:p>
            <a:pPr>
              <a:defRPr>
                <a:latin typeface="+mj-lt"/>
              </a:defRPr>
            </a:pPr>
            <a:endParaRPr lang="fr-FR"/>
          </a:p>
        </c:txPr>
        <c:crossAx val="2135419496"/>
        <c:crosses val="autoZero"/>
        <c:auto val="1"/>
        <c:lblAlgn val="ctr"/>
        <c:lblOffset val="100"/>
        <c:noMultiLvlLbl val="0"/>
      </c:catAx>
      <c:valAx>
        <c:axId val="2135419496"/>
        <c:scaling>
          <c:orientation val="minMax"/>
        </c:scaling>
        <c:delete val="0"/>
        <c:axPos val="l"/>
        <c:numFmt formatCode="General" sourceLinked="1"/>
        <c:majorTickMark val="out"/>
        <c:minorTickMark val="none"/>
        <c:tickLblPos val="nextTo"/>
        <c:txPr>
          <a:bodyPr/>
          <a:lstStyle/>
          <a:p>
            <a:pPr>
              <a:defRPr>
                <a:latin typeface="+mj-lt"/>
              </a:defRPr>
            </a:pPr>
            <a:endParaRPr lang="fr-FR"/>
          </a:p>
        </c:txPr>
        <c:crossAx val="2132728488"/>
        <c:crosses val="autoZero"/>
        <c:crossBetween val="between"/>
      </c:valAx>
    </c:plotArea>
    <c:legend>
      <c:legendPos val="r"/>
      <c:layout/>
      <c:overlay val="0"/>
      <c:txPr>
        <a:bodyPr/>
        <a:lstStyle/>
        <a:p>
          <a:pPr>
            <a:defRPr>
              <a:latin typeface="+mj-lt"/>
            </a:defRPr>
          </a:pPr>
          <a:endParaRPr lang="fr-F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712848664299658"/>
          <c:y val="0.0456905503634476"/>
          <c:w val="0.883206554255593"/>
          <c:h val="0.777335590060591"/>
        </c:manualLayout>
      </c:layout>
      <c:barChart>
        <c:barDir val="col"/>
        <c:grouping val="clustered"/>
        <c:varyColors val="0"/>
        <c:ser>
          <c:idx val="0"/>
          <c:order val="0"/>
          <c:tx>
            <c:strRef>
              <c:f>Feuil4!$A$14</c:f>
              <c:strCache>
                <c:ptCount val="1"/>
                <c:pt idx="0">
                  <c:v>2006</c:v>
                </c:pt>
              </c:strCache>
            </c:strRef>
          </c:tx>
          <c:spPr>
            <a:solidFill>
              <a:schemeClr val="bg1">
                <a:lumMod val="65000"/>
              </a:schemeClr>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multiLvlStrRef>
              <c:f>Feuil4!$B$12:$E$13</c:f>
              <c:multiLvlStrCache>
                <c:ptCount val="4"/>
                <c:lvl>
                  <c:pt idx="0">
                    <c:v>Ouest</c:v>
                  </c:pt>
                  <c:pt idx="1">
                    <c:v>Est</c:v>
                  </c:pt>
                  <c:pt idx="2">
                    <c:v>Ouest</c:v>
                  </c:pt>
                  <c:pt idx="3">
                    <c:v>Est</c:v>
                  </c:pt>
                </c:lvl>
                <c:lvl>
                  <c:pt idx="0">
                    <c:v>moins de 3 ans</c:v>
                  </c:pt>
                  <c:pt idx="2">
                    <c:v>de 3 à 5 ans</c:v>
                  </c:pt>
                </c:lvl>
              </c:multiLvlStrCache>
            </c:multiLvlStrRef>
          </c:cat>
          <c:val>
            <c:numRef>
              <c:f>Feuil4!$B$14:$E$14</c:f>
              <c:numCache>
                <c:formatCode>General</c:formatCode>
                <c:ptCount val="4"/>
                <c:pt idx="0">
                  <c:v>6.8</c:v>
                </c:pt>
                <c:pt idx="1">
                  <c:v>36.7</c:v>
                </c:pt>
                <c:pt idx="2">
                  <c:v>85.7</c:v>
                </c:pt>
                <c:pt idx="3">
                  <c:v>92.1</c:v>
                </c:pt>
              </c:numCache>
            </c:numRef>
          </c:val>
        </c:ser>
        <c:ser>
          <c:idx val="1"/>
          <c:order val="1"/>
          <c:tx>
            <c:strRef>
              <c:f>Feuil4!$A$15</c:f>
              <c:strCache>
                <c:ptCount val="1"/>
                <c:pt idx="0">
                  <c:v>2012</c:v>
                </c:pt>
              </c:strCache>
            </c:strRef>
          </c:tx>
          <c:spPr>
            <a:solidFill>
              <a:schemeClr val="bg1">
                <a:lumMod val="85000"/>
              </a:schemeClr>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multiLvlStrRef>
              <c:f>Feuil4!$B$12:$E$13</c:f>
              <c:multiLvlStrCache>
                <c:ptCount val="4"/>
                <c:lvl>
                  <c:pt idx="0">
                    <c:v>Ouest</c:v>
                  </c:pt>
                  <c:pt idx="1">
                    <c:v>Est</c:v>
                  </c:pt>
                  <c:pt idx="2">
                    <c:v>Ouest</c:v>
                  </c:pt>
                  <c:pt idx="3">
                    <c:v>Est</c:v>
                  </c:pt>
                </c:lvl>
                <c:lvl>
                  <c:pt idx="0">
                    <c:v>moins de 3 ans</c:v>
                  </c:pt>
                  <c:pt idx="2">
                    <c:v>de 3 à 5 ans</c:v>
                  </c:pt>
                </c:lvl>
              </c:multiLvlStrCache>
            </c:multiLvlStrRef>
          </c:cat>
          <c:val>
            <c:numRef>
              <c:f>Feuil4!$B$15:$E$15</c:f>
              <c:numCache>
                <c:formatCode>General</c:formatCode>
                <c:ptCount val="4"/>
                <c:pt idx="0">
                  <c:v>22.3</c:v>
                </c:pt>
                <c:pt idx="1">
                  <c:v>49.0</c:v>
                </c:pt>
                <c:pt idx="2">
                  <c:v>92.9</c:v>
                </c:pt>
                <c:pt idx="3">
                  <c:v>95.6</c:v>
                </c:pt>
              </c:numCache>
            </c:numRef>
          </c:val>
        </c:ser>
        <c:ser>
          <c:idx val="2"/>
          <c:order val="2"/>
          <c:tx>
            <c:strRef>
              <c:f>Feuil4!$A$16</c:f>
              <c:strCache>
                <c:ptCount val="1"/>
                <c:pt idx="0">
                  <c:v>2012 en journée</c:v>
                </c:pt>
              </c:strCache>
            </c:strRef>
          </c:tx>
          <c:spPr>
            <a:solidFill>
              <a:sysClr val="window" lastClr="FFFFFF"/>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multiLvlStrRef>
              <c:f>Feuil4!$B$12:$E$13</c:f>
              <c:multiLvlStrCache>
                <c:ptCount val="4"/>
                <c:lvl>
                  <c:pt idx="0">
                    <c:v>Ouest</c:v>
                  </c:pt>
                  <c:pt idx="1">
                    <c:v>Est</c:v>
                  </c:pt>
                  <c:pt idx="2">
                    <c:v>Ouest</c:v>
                  </c:pt>
                  <c:pt idx="3">
                    <c:v>Est</c:v>
                  </c:pt>
                </c:lvl>
                <c:lvl>
                  <c:pt idx="0">
                    <c:v>moins de 3 ans</c:v>
                  </c:pt>
                  <c:pt idx="2">
                    <c:v>de 3 à 5 ans</c:v>
                  </c:pt>
                </c:lvl>
              </c:multiLvlStrCache>
            </c:multiLvlStrRef>
          </c:cat>
          <c:val>
            <c:numRef>
              <c:f>Feuil4!$B$16:$E$16</c:f>
              <c:numCache>
                <c:formatCode>General</c:formatCode>
                <c:ptCount val="4"/>
                <c:pt idx="0">
                  <c:v>9.3</c:v>
                </c:pt>
                <c:pt idx="1">
                  <c:v>36.0</c:v>
                </c:pt>
                <c:pt idx="2">
                  <c:v>29.8</c:v>
                </c:pt>
                <c:pt idx="3">
                  <c:v>68.0</c:v>
                </c:pt>
              </c:numCache>
            </c:numRef>
          </c:val>
        </c:ser>
        <c:dLbls>
          <c:showLegendKey val="0"/>
          <c:showVal val="0"/>
          <c:showCatName val="0"/>
          <c:showSerName val="0"/>
          <c:showPercent val="0"/>
          <c:showBubbleSize val="0"/>
        </c:dLbls>
        <c:gapWidth val="150"/>
        <c:axId val="2091192792"/>
        <c:axId val="2091177368"/>
      </c:barChart>
      <c:catAx>
        <c:axId val="2091192792"/>
        <c:scaling>
          <c:orientation val="minMax"/>
        </c:scaling>
        <c:delete val="0"/>
        <c:axPos val="b"/>
        <c:majorTickMark val="out"/>
        <c:minorTickMark val="none"/>
        <c:tickLblPos val="nextTo"/>
        <c:txPr>
          <a:bodyPr/>
          <a:lstStyle/>
          <a:p>
            <a:pPr>
              <a:defRPr>
                <a:latin typeface="+mj-lt"/>
              </a:defRPr>
            </a:pPr>
            <a:endParaRPr lang="fr-FR"/>
          </a:p>
        </c:txPr>
        <c:crossAx val="2091177368"/>
        <c:crosses val="autoZero"/>
        <c:auto val="1"/>
        <c:lblAlgn val="ctr"/>
        <c:lblOffset val="100"/>
        <c:noMultiLvlLbl val="0"/>
      </c:catAx>
      <c:valAx>
        <c:axId val="2091177368"/>
        <c:scaling>
          <c:orientation val="minMax"/>
        </c:scaling>
        <c:delete val="0"/>
        <c:axPos val="l"/>
        <c:numFmt formatCode="General" sourceLinked="1"/>
        <c:majorTickMark val="out"/>
        <c:minorTickMark val="none"/>
        <c:tickLblPos val="nextTo"/>
        <c:txPr>
          <a:bodyPr/>
          <a:lstStyle/>
          <a:p>
            <a:pPr>
              <a:defRPr>
                <a:latin typeface="+mj-lt"/>
              </a:defRPr>
            </a:pPr>
            <a:endParaRPr lang="fr-FR"/>
          </a:p>
        </c:txPr>
        <c:crossAx val="2091192792"/>
        <c:crosses val="autoZero"/>
        <c:crossBetween val="between"/>
      </c:valAx>
    </c:plotArea>
    <c:legend>
      <c:legendPos val="r"/>
      <c:layout>
        <c:manualLayout>
          <c:xMode val="edge"/>
          <c:yMode val="edge"/>
          <c:x val="0.113670566553557"/>
          <c:y val="0.0871067284813697"/>
          <c:w val="0.191931208266188"/>
          <c:h val="0.219348002060491"/>
        </c:manualLayout>
      </c:layout>
      <c:overlay val="0"/>
      <c:txPr>
        <a:bodyPr/>
        <a:lstStyle/>
        <a:p>
          <a:pPr>
            <a:defRPr>
              <a:latin typeface="+mj-lt"/>
            </a:defRPr>
          </a:pPr>
          <a:endParaRPr lang="fr-F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892543744531938"/>
          <c:y val="0.0509259259259259"/>
          <c:w val="0.879653980752406"/>
          <c:h val="0.835401720618256"/>
        </c:manualLayout>
      </c:layout>
      <c:barChart>
        <c:barDir val="col"/>
        <c:grouping val="clustered"/>
        <c:varyColors val="0"/>
        <c:ser>
          <c:idx val="0"/>
          <c:order val="0"/>
          <c:tx>
            <c:strRef>
              <c:f>Feuil5!$A$5</c:f>
              <c:strCache>
                <c:ptCount val="1"/>
                <c:pt idx="0">
                  <c:v>hommes</c:v>
                </c:pt>
              </c:strCache>
            </c:strRef>
          </c:tx>
          <c:spPr>
            <a:solidFill>
              <a:schemeClr val="bg1">
                <a:lumMod val="75000"/>
              </a:schemeClr>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strRef>
              <c:f>Feuil5!$B$4:$C$4</c:f>
              <c:strCache>
                <c:ptCount val="2"/>
                <c:pt idx="0">
                  <c:v>10 à 12 mois</c:v>
                </c:pt>
                <c:pt idx="1">
                  <c:v>1 à 2 mois</c:v>
                </c:pt>
              </c:strCache>
            </c:strRef>
          </c:cat>
          <c:val>
            <c:numRef>
              <c:f>Feuil5!$B$5:$C$5</c:f>
              <c:numCache>
                <c:formatCode>General</c:formatCode>
                <c:ptCount val="2"/>
                <c:pt idx="0">
                  <c:v>9.3</c:v>
                </c:pt>
                <c:pt idx="1">
                  <c:v>76.2</c:v>
                </c:pt>
              </c:numCache>
            </c:numRef>
          </c:val>
        </c:ser>
        <c:ser>
          <c:idx val="1"/>
          <c:order val="1"/>
          <c:tx>
            <c:strRef>
              <c:f>Feuil5!$A$6</c:f>
              <c:strCache>
                <c:ptCount val="1"/>
                <c:pt idx="0">
                  <c:v>femmes</c:v>
                </c:pt>
              </c:strCache>
            </c:strRef>
          </c:tx>
          <c:spPr>
            <a:solidFill>
              <a:sysClr val="window" lastClr="FFFFFF"/>
            </a:solidFill>
            <a:ln>
              <a:solidFill>
                <a:sysClr val="windowText" lastClr="000000"/>
              </a:solidFill>
            </a:ln>
          </c:spPr>
          <c:invertIfNegative val="0"/>
          <c:dLbls>
            <c:txPr>
              <a:bodyPr/>
              <a:lstStyle/>
              <a:p>
                <a:pPr>
                  <a:defRPr>
                    <a:latin typeface="+mj-lt"/>
                  </a:defRPr>
                </a:pPr>
                <a:endParaRPr lang="fr-FR"/>
              </a:p>
            </c:txPr>
            <c:dLblPos val="outEnd"/>
            <c:showLegendKey val="0"/>
            <c:showVal val="1"/>
            <c:showCatName val="0"/>
            <c:showSerName val="0"/>
            <c:showPercent val="0"/>
            <c:showBubbleSize val="0"/>
            <c:showLeaderLines val="0"/>
          </c:dLbls>
          <c:cat>
            <c:strRef>
              <c:f>Feuil5!$B$4:$C$4</c:f>
              <c:strCache>
                <c:ptCount val="2"/>
                <c:pt idx="0">
                  <c:v>10 à 12 mois</c:v>
                </c:pt>
                <c:pt idx="1">
                  <c:v>1 à 2 mois</c:v>
                </c:pt>
              </c:strCache>
            </c:strRef>
          </c:cat>
          <c:val>
            <c:numRef>
              <c:f>Feuil5!$B$6:$C$6</c:f>
              <c:numCache>
                <c:formatCode>General</c:formatCode>
                <c:ptCount val="2"/>
                <c:pt idx="0">
                  <c:v>92.6</c:v>
                </c:pt>
                <c:pt idx="1">
                  <c:v>0.8</c:v>
                </c:pt>
              </c:numCache>
            </c:numRef>
          </c:val>
        </c:ser>
        <c:dLbls>
          <c:showLegendKey val="0"/>
          <c:showVal val="0"/>
          <c:showCatName val="0"/>
          <c:showSerName val="0"/>
          <c:showPercent val="0"/>
          <c:showBubbleSize val="0"/>
        </c:dLbls>
        <c:gapWidth val="150"/>
        <c:axId val="2091138088"/>
        <c:axId val="2091131112"/>
      </c:barChart>
      <c:catAx>
        <c:axId val="2091138088"/>
        <c:scaling>
          <c:orientation val="minMax"/>
        </c:scaling>
        <c:delete val="0"/>
        <c:axPos val="b"/>
        <c:majorTickMark val="out"/>
        <c:minorTickMark val="none"/>
        <c:tickLblPos val="nextTo"/>
        <c:txPr>
          <a:bodyPr/>
          <a:lstStyle/>
          <a:p>
            <a:pPr>
              <a:defRPr>
                <a:latin typeface="+mj-lt"/>
              </a:defRPr>
            </a:pPr>
            <a:endParaRPr lang="fr-FR"/>
          </a:p>
        </c:txPr>
        <c:crossAx val="2091131112"/>
        <c:crosses val="autoZero"/>
        <c:auto val="1"/>
        <c:lblAlgn val="ctr"/>
        <c:lblOffset val="100"/>
        <c:noMultiLvlLbl val="0"/>
      </c:catAx>
      <c:valAx>
        <c:axId val="2091131112"/>
        <c:scaling>
          <c:orientation val="minMax"/>
        </c:scaling>
        <c:delete val="0"/>
        <c:axPos val="l"/>
        <c:numFmt formatCode="General" sourceLinked="1"/>
        <c:majorTickMark val="out"/>
        <c:minorTickMark val="none"/>
        <c:tickLblPos val="nextTo"/>
        <c:txPr>
          <a:bodyPr/>
          <a:lstStyle/>
          <a:p>
            <a:pPr>
              <a:defRPr>
                <a:latin typeface="+mj-lt"/>
              </a:defRPr>
            </a:pPr>
            <a:endParaRPr lang="fr-FR"/>
          </a:p>
        </c:txPr>
        <c:crossAx val="2091138088"/>
        <c:crosses val="autoZero"/>
        <c:crossBetween val="between"/>
      </c:valAx>
    </c:plotArea>
    <c:legend>
      <c:legendPos val="r"/>
      <c:layout>
        <c:manualLayout>
          <c:xMode val="edge"/>
          <c:yMode val="edge"/>
          <c:x val="0.102241688538933"/>
          <c:y val="0.0435061242344707"/>
          <c:w val="0.147758311461068"/>
          <c:h val="0.162987751531059"/>
        </c:manualLayout>
      </c:layout>
      <c:overlay val="0"/>
      <c:txPr>
        <a:bodyPr/>
        <a:lstStyle/>
        <a:p>
          <a:pPr>
            <a:defRPr>
              <a:latin typeface="+mj-lt"/>
            </a:defRPr>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7760B-6223-274F-BD2D-D157E94F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6981</Words>
  <Characters>40356</Characters>
  <Application>Microsoft Macintosh Word</Application>
  <DocSecurity>0</DocSecurity>
  <Lines>661</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Anne SALLES</cp:lastModifiedBy>
  <cp:revision>3</cp:revision>
  <cp:lastPrinted>2013-12-17T14:47:00Z</cp:lastPrinted>
  <dcterms:created xsi:type="dcterms:W3CDTF">2015-09-15T14:55:00Z</dcterms:created>
  <dcterms:modified xsi:type="dcterms:W3CDTF">2015-09-15T15:08:00Z</dcterms:modified>
</cp:coreProperties>
</file>