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A9F" w:rsidRDefault="005058AD" w:rsidP="005058AD">
      <w:pPr>
        <w:ind w:firstLine="708"/>
        <w:jc w:val="center"/>
        <w:rPr>
          <w:rFonts w:asciiTheme="minorBidi" w:hAnsiTheme="minorBidi"/>
          <w:b/>
          <w:bCs/>
          <w:sz w:val="32"/>
          <w:szCs w:val="32"/>
        </w:rPr>
      </w:pPr>
      <w:r w:rsidRPr="005058AD">
        <w:rPr>
          <w:rFonts w:asciiTheme="minorBidi" w:hAnsiTheme="minorBidi"/>
          <w:b/>
          <w:bCs/>
          <w:sz w:val="32"/>
          <w:szCs w:val="32"/>
        </w:rPr>
        <w:t>Le rôle de la famille dans la prise en charge des personnes âgées</w:t>
      </w:r>
      <w:r w:rsidR="00A87460">
        <w:rPr>
          <w:rFonts w:asciiTheme="minorBidi" w:hAnsiTheme="minorBidi"/>
          <w:b/>
          <w:bCs/>
          <w:sz w:val="32"/>
          <w:szCs w:val="32"/>
        </w:rPr>
        <w:t xml:space="preserve"> au Maroc</w:t>
      </w:r>
    </w:p>
    <w:p w:rsidR="00682ADA" w:rsidRPr="0084738D" w:rsidRDefault="00682ADA" w:rsidP="00682ADA">
      <w:pPr>
        <w:spacing w:after="0" w:line="240" w:lineRule="auto"/>
        <w:jc w:val="center"/>
        <w:rPr>
          <w:rFonts w:asciiTheme="majorBidi" w:hAnsiTheme="majorBidi" w:cstheme="majorBidi"/>
          <w:sz w:val="24"/>
          <w:szCs w:val="24"/>
          <w:u w:val="single"/>
        </w:rPr>
      </w:pPr>
      <w:r>
        <w:rPr>
          <w:rFonts w:asciiTheme="majorBidi" w:hAnsiTheme="majorBidi" w:cstheme="majorBidi"/>
          <w:sz w:val="24"/>
          <w:szCs w:val="24"/>
          <w:u w:val="single"/>
        </w:rPr>
        <w:t>Abdeljao</w:t>
      </w:r>
      <w:r w:rsidRPr="0084738D">
        <w:rPr>
          <w:rFonts w:asciiTheme="majorBidi" w:hAnsiTheme="majorBidi" w:cstheme="majorBidi"/>
          <w:sz w:val="24"/>
          <w:szCs w:val="24"/>
          <w:u w:val="single"/>
        </w:rPr>
        <w:t>u</w:t>
      </w:r>
      <w:r>
        <w:rPr>
          <w:rFonts w:asciiTheme="majorBidi" w:hAnsiTheme="majorBidi" w:cstheme="majorBidi"/>
          <w:sz w:val="24"/>
          <w:szCs w:val="24"/>
          <w:u w:val="single"/>
        </w:rPr>
        <w:t>a</w:t>
      </w:r>
      <w:r w:rsidRPr="0084738D">
        <w:rPr>
          <w:rFonts w:asciiTheme="majorBidi" w:hAnsiTheme="majorBidi" w:cstheme="majorBidi"/>
          <w:sz w:val="24"/>
          <w:szCs w:val="24"/>
          <w:u w:val="single"/>
        </w:rPr>
        <w:t>d EZZRARI</w:t>
      </w:r>
      <w:r w:rsidRPr="0084738D">
        <w:rPr>
          <w:rStyle w:val="Appelnotedebasdep"/>
          <w:rFonts w:asciiTheme="majorBidi" w:hAnsiTheme="majorBidi" w:cstheme="majorBidi"/>
          <w:sz w:val="24"/>
          <w:szCs w:val="24"/>
          <w:u w:val="single"/>
        </w:rPr>
        <w:footnoteReference w:id="2"/>
      </w:r>
    </w:p>
    <w:p w:rsidR="00682ADA" w:rsidRPr="00965714" w:rsidRDefault="00682ADA" w:rsidP="00682ADA">
      <w:pPr>
        <w:spacing w:after="0" w:line="240" w:lineRule="auto"/>
        <w:jc w:val="center"/>
        <w:rPr>
          <w:rFonts w:asciiTheme="majorBidi" w:hAnsiTheme="majorBidi" w:cstheme="majorBidi"/>
          <w:sz w:val="24"/>
          <w:szCs w:val="24"/>
          <w:u w:val="single"/>
        </w:rPr>
      </w:pPr>
      <w:r w:rsidRPr="00965714">
        <w:rPr>
          <w:rFonts w:asciiTheme="majorBidi" w:hAnsiTheme="majorBidi" w:cstheme="majorBidi"/>
          <w:sz w:val="24"/>
          <w:szCs w:val="24"/>
          <w:u w:val="single"/>
        </w:rPr>
        <w:t>Safia FEKKAKLOUHAIL</w:t>
      </w:r>
      <w:r w:rsidRPr="0084738D">
        <w:rPr>
          <w:rStyle w:val="Appelnotedebasdep"/>
          <w:rFonts w:asciiTheme="majorBidi" w:hAnsiTheme="majorBidi" w:cstheme="majorBidi"/>
          <w:sz w:val="24"/>
          <w:szCs w:val="24"/>
          <w:u w:val="single"/>
        </w:rPr>
        <w:footnoteReference w:id="3"/>
      </w:r>
    </w:p>
    <w:p w:rsidR="00682ADA" w:rsidRPr="005058AD" w:rsidRDefault="00682ADA" w:rsidP="005058AD">
      <w:pPr>
        <w:ind w:firstLine="708"/>
        <w:jc w:val="center"/>
        <w:rPr>
          <w:rFonts w:asciiTheme="minorBidi" w:hAnsiTheme="minorBidi"/>
          <w:b/>
          <w:bCs/>
          <w:sz w:val="32"/>
          <w:szCs w:val="32"/>
        </w:rPr>
      </w:pPr>
    </w:p>
    <w:p w:rsidR="005058AD" w:rsidRDefault="005058AD">
      <w:pPr>
        <w:rPr>
          <w:rFonts w:asciiTheme="minorBidi" w:hAnsiTheme="minorBidi"/>
          <w:sz w:val="26"/>
          <w:szCs w:val="26"/>
        </w:rPr>
      </w:pPr>
    </w:p>
    <w:p w:rsidR="00CE065C" w:rsidRPr="00CE065C" w:rsidRDefault="00CE065C" w:rsidP="00135EDC">
      <w:pPr>
        <w:pStyle w:val="Titre1"/>
        <w:spacing w:after="100" w:afterAutospacing="1"/>
        <w:rPr>
          <w:rFonts w:asciiTheme="majorBidi" w:hAnsiTheme="majorBidi"/>
          <w:b/>
          <w:bCs/>
          <w:color w:val="auto"/>
          <w:sz w:val="28"/>
          <w:szCs w:val="28"/>
        </w:rPr>
      </w:pPr>
      <w:r w:rsidRPr="00CE065C">
        <w:rPr>
          <w:rFonts w:asciiTheme="majorBidi" w:hAnsiTheme="majorBidi"/>
          <w:b/>
          <w:bCs/>
          <w:color w:val="auto"/>
          <w:sz w:val="28"/>
          <w:szCs w:val="28"/>
        </w:rPr>
        <w:t>I. Contexte et objectif de l’étude :</w:t>
      </w:r>
    </w:p>
    <w:p w:rsidR="005058AD" w:rsidRPr="00CE065C" w:rsidRDefault="005058AD" w:rsidP="00CE065C">
      <w:pPr>
        <w:spacing w:line="360" w:lineRule="auto"/>
        <w:jc w:val="both"/>
        <w:rPr>
          <w:rFonts w:asciiTheme="majorBidi" w:hAnsiTheme="majorBidi" w:cstheme="majorBidi"/>
          <w:sz w:val="24"/>
          <w:szCs w:val="24"/>
        </w:rPr>
      </w:pPr>
      <w:r w:rsidRPr="00CE065C">
        <w:rPr>
          <w:rFonts w:asciiTheme="majorBidi" w:hAnsiTheme="majorBidi" w:cstheme="majorBidi"/>
          <w:sz w:val="24"/>
          <w:szCs w:val="24"/>
        </w:rPr>
        <w:t xml:space="preserve">La situation des personnes âgées n’est pas homogène. </w:t>
      </w:r>
      <w:r w:rsidR="00A57A50" w:rsidRPr="00CE065C">
        <w:rPr>
          <w:rFonts w:asciiTheme="majorBidi" w:hAnsiTheme="majorBidi" w:cstheme="majorBidi"/>
          <w:sz w:val="24"/>
          <w:szCs w:val="24"/>
        </w:rPr>
        <w:t xml:space="preserve">Elle diffère selon la région, le milieu de résidence ou encore selon la classe sociale. Selon les résultats des enquêtes socioéconomiques réalisées au Maroc, les personnes âgées sont nombreuses à vivre dans des conditions de la vulnérabilité et d’exclusion sociale. C’est ainsi qu’en 2012, elles sont près de 14,0% à vivre dans des ménages vulnérables. Leur situation se trouve également aggravée par le fait que moins de 20% d’entre elles </w:t>
      </w:r>
      <w:r w:rsidR="00032592" w:rsidRPr="00CE065C">
        <w:rPr>
          <w:rFonts w:asciiTheme="majorBidi" w:hAnsiTheme="majorBidi" w:cstheme="majorBidi"/>
          <w:sz w:val="24"/>
          <w:szCs w:val="24"/>
        </w:rPr>
        <w:t xml:space="preserve">bénéficient d’un régime de retraite ou de couverture sociale. </w:t>
      </w:r>
    </w:p>
    <w:p w:rsidR="00032592" w:rsidRPr="00CE065C" w:rsidRDefault="00032592" w:rsidP="00CE065C">
      <w:pPr>
        <w:spacing w:line="360" w:lineRule="auto"/>
        <w:jc w:val="both"/>
        <w:rPr>
          <w:rFonts w:asciiTheme="majorBidi" w:hAnsiTheme="majorBidi" w:cstheme="majorBidi"/>
          <w:sz w:val="24"/>
          <w:szCs w:val="24"/>
        </w:rPr>
      </w:pPr>
      <w:r w:rsidRPr="00CE065C">
        <w:rPr>
          <w:rFonts w:asciiTheme="majorBidi" w:hAnsiTheme="majorBidi" w:cstheme="majorBidi"/>
          <w:sz w:val="24"/>
          <w:szCs w:val="24"/>
        </w:rPr>
        <w:t>Pour subvenir à leurs besoins, les personnes âgées comptent soit sur le soutien économique et social de leurs familles, soit elles sont obli</w:t>
      </w:r>
      <w:r w:rsidR="00621AF0" w:rsidRPr="00CE065C">
        <w:rPr>
          <w:rFonts w:asciiTheme="majorBidi" w:hAnsiTheme="majorBidi" w:cstheme="majorBidi"/>
          <w:sz w:val="24"/>
          <w:szCs w:val="24"/>
        </w:rPr>
        <w:t>gées à prolonger leur vie professionnelle</w:t>
      </w:r>
      <w:r w:rsidRPr="00CE065C">
        <w:rPr>
          <w:rFonts w:asciiTheme="majorBidi" w:hAnsiTheme="majorBidi" w:cstheme="majorBidi"/>
          <w:sz w:val="24"/>
          <w:szCs w:val="24"/>
        </w:rPr>
        <w:t>.</w:t>
      </w:r>
    </w:p>
    <w:p w:rsidR="00032592" w:rsidRPr="00CE065C" w:rsidRDefault="00621AF0" w:rsidP="00135EDC">
      <w:pPr>
        <w:spacing w:after="100" w:afterAutospacing="1" w:line="360" w:lineRule="auto"/>
        <w:jc w:val="both"/>
        <w:rPr>
          <w:rFonts w:asciiTheme="majorBidi" w:hAnsiTheme="majorBidi" w:cstheme="majorBidi"/>
          <w:sz w:val="24"/>
          <w:szCs w:val="24"/>
        </w:rPr>
      </w:pPr>
      <w:r w:rsidRPr="00CE065C">
        <w:rPr>
          <w:rFonts w:asciiTheme="majorBidi" w:hAnsiTheme="majorBidi" w:cstheme="majorBidi"/>
          <w:sz w:val="24"/>
          <w:szCs w:val="24"/>
        </w:rPr>
        <w:t>L’évolution de la structure des personnes âgées selon la typologie des familles montre qu’il y a une tendance à la nucléarisation de la famille marocaine. En effet, en 2012, un peu plus de la moitié (52,3%) des personnes âgées vivent dans des familles nucléaires ou monoparentales contre 43,4% en 2000. Quoique la part des personnes âgées vivant dans des familles élargies ait enregistré une diminution de 12,3 points de pourcentages entre 2000 et 2012, elle continue toujours à occuper la première place avec 39,3%.</w:t>
      </w:r>
    </w:p>
    <w:p w:rsidR="00621AF0" w:rsidRPr="00CE065C" w:rsidRDefault="00621AF0" w:rsidP="00CE065C">
      <w:pPr>
        <w:spacing w:line="360" w:lineRule="auto"/>
        <w:jc w:val="both"/>
        <w:rPr>
          <w:rFonts w:asciiTheme="majorBidi" w:hAnsiTheme="majorBidi" w:cstheme="majorBidi"/>
          <w:sz w:val="24"/>
          <w:szCs w:val="24"/>
        </w:rPr>
      </w:pPr>
      <w:r w:rsidRPr="00CE065C">
        <w:rPr>
          <w:rFonts w:asciiTheme="majorBidi" w:hAnsiTheme="majorBidi" w:cstheme="majorBidi"/>
          <w:sz w:val="24"/>
          <w:szCs w:val="24"/>
        </w:rPr>
        <w:t xml:space="preserve">Cette tendance à la nucléarisation de la famille marocaine ne signifie pas une nucléarisation des liens </w:t>
      </w:r>
      <w:r w:rsidR="008815EA" w:rsidRPr="00CE065C">
        <w:rPr>
          <w:rFonts w:asciiTheme="majorBidi" w:hAnsiTheme="majorBidi" w:cstheme="majorBidi"/>
          <w:sz w:val="24"/>
          <w:szCs w:val="24"/>
        </w:rPr>
        <w:t xml:space="preserve">inter ou intrafamiliales. En effet, des transferts et des soutiens de diverses formes continuent toujours d’exister au sein des familles marocaines et les personnes âgées en sont les principaux bénéficiaires. </w:t>
      </w:r>
    </w:p>
    <w:p w:rsidR="008815EA" w:rsidRPr="00CE065C" w:rsidRDefault="008815EA" w:rsidP="00CE065C">
      <w:pPr>
        <w:spacing w:line="360" w:lineRule="auto"/>
        <w:jc w:val="both"/>
        <w:rPr>
          <w:rFonts w:asciiTheme="majorBidi" w:hAnsiTheme="majorBidi" w:cstheme="majorBidi"/>
          <w:sz w:val="24"/>
          <w:szCs w:val="24"/>
        </w:rPr>
      </w:pPr>
      <w:r w:rsidRPr="00CE065C">
        <w:rPr>
          <w:rFonts w:asciiTheme="majorBidi" w:hAnsiTheme="majorBidi" w:cstheme="majorBidi"/>
          <w:sz w:val="24"/>
          <w:szCs w:val="24"/>
        </w:rPr>
        <w:t>L’enquête sur les personnes âgées réalisée</w:t>
      </w:r>
      <w:r w:rsidR="00D47179" w:rsidRPr="00CE065C">
        <w:rPr>
          <w:rFonts w:asciiTheme="majorBidi" w:hAnsiTheme="majorBidi" w:cstheme="majorBidi"/>
          <w:sz w:val="24"/>
          <w:szCs w:val="24"/>
        </w:rPr>
        <w:t xml:space="preserve">au Maroc </w:t>
      </w:r>
      <w:r w:rsidR="005E76FD" w:rsidRPr="00CE065C">
        <w:rPr>
          <w:rFonts w:asciiTheme="majorBidi" w:hAnsiTheme="majorBidi" w:cstheme="majorBidi"/>
          <w:sz w:val="24"/>
          <w:szCs w:val="24"/>
        </w:rPr>
        <w:t xml:space="preserve">en 2006, montre que </w:t>
      </w:r>
      <w:r w:rsidR="00D47179" w:rsidRPr="00CE065C">
        <w:rPr>
          <w:rFonts w:asciiTheme="majorBidi" w:hAnsiTheme="majorBidi" w:cstheme="majorBidi"/>
          <w:sz w:val="24"/>
          <w:szCs w:val="24"/>
        </w:rPr>
        <w:t xml:space="preserve">71,4% des personnes âgées ont déclaré recevoir des aides matérielles de la part de leurs enfants de façon </w:t>
      </w:r>
      <w:r w:rsidR="00D47179" w:rsidRPr="00CE065C">
        <w:rPr>
          <w:rFonts w:asciiTheme="majorBidi" w:hAnsiTheme="majorBidi" w:cstheme="majorBidi"/>
          <w:sz w:val="24"/>
          <w:szCs w:val="24"/>
        </w:rPr>
        <w:lastRenderedPageBreak/>
        <w:t>permanente ou occasionnelle, 25,6% les reçoivent de la part d’autres membres du ménage et 18,0% de la part des autres membres de la famille. Le soutien matériel provenant des institutions ne représente que 1,4%.</w:t>
      </w:r>
    </w:p>
    <w:p w:rsidR="00F20A0C" w:rsidRPr="00CE065C" w:rsidRDefault="00F20A0C" w:rsidP="00CE065C">
      <w:pPr>
        <w:spacing w:line="360" w:lineRule="auto"/>
        <w:jc w:val="both"/>
        <w:rPr>
          <w:rFonts w:asciiTheme="majorBidi" w:hAnsiTheme="majorBidi" w:cstheme="majorBidi"/>
          <w:sz w:val="24"/>
          <w:szCs w:val="24"/>
        </w:rPr>
      </w:pPr>
      <w:r w:rsidRPr="00CE065C">
        <w:rPr>
          <w:rFonts w:asciiTheme="majorBidi" w:hAnsiTheme="majorBidi" w:cstheme="majorBidi"/>
          <w:sz w:val="24"/>
          <w:szCs w:val="24"/>
        </w:rPr>
        <w:t>Ces pourcentages diffèrent selon la typologie des familles</w:t>
      </w:r>
      <w:r w:rsidR="007C54E4" w:rsidRPr="00CE065C">
        <w:rPr>
          <w:rFonts w:asciiTheme="majorBidi" w:hAnsiTheme="majorBidi" w:cstheme="majorBidi"/>
          <w:sz w:val="24"/>
          <w:szCs w:val="24"/>
        </w:rPr>
        <w:t>. En effet, les personnes âgées vivant dans des familles élargies sont plus nombreuses à recevoir des aides matérielles de la part de leurs enfants ou</w:t>
      </w:r>
      <w:r w:rsidR="00647200" w:rsidRPr="00CE065C">
        <w:rPr>
          <w:rFonts w:asciiTheme="majorBidi" w:hAnsiTheme="majorBidi" w:cstheme="majorBidi"/>
          <w:sz w:val="24"/>
          <w:szCs w:val="24"/>
        </w:rPr>
        <w:t xml:space="preserve"> des membres de leurs familles que les autres personnes âgées vivant isolément ou dans des familles nucléaires.</w:t>
      </w:r>
    </w:p>
    <w:p w:rsidR="00647200" w:rsidRPr="00CE065C" w:rsidRDefault="00647200" w:rsidP="00CE065C">
      <w:pPr>
        <w:spacing w:line="360" w:lineRule="auto"/>
        <w:jc w:val="both"/>
        <w:rPr>
          <w:rFonts w:asciiTheme="majorBidi" w:hAnsiTheme="majorBidi" w:cstheme="majorBidi"/>
          <w:sz w:val="24"/>
          <w:szCs w:val="24"/>
        </w:rPr>
      </w:pPr>
      <w:r w:rsidRPr="00CE065C">
        <w:rPr>
          <w:rFonts w:asciiTheme="majorBidi" w:hAnsiTheme="majorBidi" w:cstheme="majorBidi"/>
          <w:sz w:val="24"/>
          <w:szCs w:val="24"/>
        </w:rPr>
        <w:t>L</w:t>
      </w:r>
      <w:r w:rsidR="00C77169" w:rsidRPr="00CE065C">
        <w:rPr>
          <w:rFonts w:asciiTheme="majorBidi" w:hAnsiTheme="majorBidi" w:cstheme="majorBidi"/>
          <w:sz w:val="24"/>
          <w:szCs w:val="24"/>
        </w:rPr>
        <w:t>a solidarité familiale</w:t>
      </w:r>
      <w:r w:rsidRPr="00CE065C">
        <w:rPr>
          <w:rFonts w:asciiTheme="majorBidi" w:hAnsiTheme="majorBidi" w:cstheme="majorBidi"/>
          <w:sz w:val="24"/>
          <w:szCs w:val="24"/>
        </w:rPr>
        <w:t xml:space="preserve"> à l’égard des personnes âgées se manifeste également à travers le </w:t>
      </w:r>
      <w:r w:rsidR="00C77169" w:rsidRPr="00CE065C">
        <w:rPr>
          <w:rFonts w:asciiTheme="majorBidi" w:hAnsiTheme="majorBidi" w:cstheme="majorBidi"/>
          <w:sz w:val="24"/>
          <w:szCs w:val="24"/>
        </w:rPr>
        <w:t xml:space="preserve">temps que les membres </w:t>
      </w:r>
      <w:r w:rsidR="00D42CA5" w:rsidRPr="00CE065C">
        <w:rPr>
          <w:rFonts w:asciiTheme="majorBidi" w:hAnsiTheme="majorBidi" w:cstheme="majorBidi"/>
          <w:sz w:val="24"/>
          <w:szCs w:val="24"/>
        </w:rPr>
        <w:t>de leurs familles leur consacrent à leurs soins matériels ou médicaux.</w:t>
      </w:r>
    </w:p>
    <w:p w:rsidR="007C54E4" w:rsidRPr="00CE065C" w:rsidRDefault="007C54E4" w:rsidP="00CE065C">
      <w:pPr>
        <w:spacing w:line="360" w:lineRule="auto"/>
        <w:jc w:val="both"/>
        <w:rPr>
          <w:rFonts w:asciiTheme="majorBidi" w:hAnsiTheme="majorBidi" w:cstheme="majorBidi"/>
          <w:sz w:val="24"/>
          <w:szCs w:val="24"/>
        </w:rPr>
      </w:pPr>
      <w:r w:rsidRPr="00CE065C">
        <w:rPr>
          <w:rFonts w:asciiTheme="majorBidi" w:hAnsiTheme="majorBidi" w:cstheme="majorBidi"/>
          <w:sz w:val="24"/>
          <w:szCs w:val="24"/>
        </w:rPr>
        <w:t xml:space="preserve">Nous sommes amenés dans ce travail à répondre </w:t>
      </w:r>
      <w:r w:rsidR="004906C6" w:rsidRPr="00CE065C">
        <w:rPr>
          <w:rFonts w:asciiTheme="majorBidi" w:hAnsiTheme="majorBidi" w:cstheme="majorBidi"/>
          <w:sz w:val="24"/>
          <w:szCs w:val="24"/>
        </w:rPr>
        <w:t>aux</w:t>
      </w:r>
      <w:r w:rsidRPr="00CE065C">
        <w:rPr>
          <w:rFonts w:asciiTheme="majorBidi" w:hAnsiTheme="majorBidi" w:cstheme="majorBidi"/>
          <w:sz w:val="24"/>
          <w:szCs w:val="24"/>
        </w:rPr>
        <w:t xml:space="preserve"> questions suivantes :</w:t>
      </w:r>
    </w:p>
    <w:p w:rsidR="007C54E4" w:rsidRPr="00CE065C" w:rsidRDefault="007C54E4" w:rsidP="00CE065C">
      <w:pPr>
        <w:pStyle w:val="Paragraphedeliste"/>
        <w:numPr>
          <w:ilvl w:val="0"/>
          <w:numId w:val="1"/>
        </w:numPr>
        <w:spacing w:line="360" w:lineRule="auto"/>
        <w:jc w:val="both"/>
        <w:rPr>
          <w:rFonts w:asciiTheme="majorBidi" w:hAnsiTheme="majorBidi" w:cstheme="majorBidi"/>
          <w:sz w:val="24"/>
          <w:szCs w:val="24"/>
        </w:rPr>
      </w:pPr>
      <w:r w:rsidRPr="00CE065C">
        <w:rPr>
          <w:rFonts w:asciiTheme="majorBidi" w:hAnsiTheme="majorBidi" w:cstheme="majorBidi"/>
          <w:sz w:val="24"/>
          <w:szCs w:val="24"/>
        </w:rPr>
        <w:t xml:space="preserve">Comment a évolué la structure familiale </w:t>
      </w:r>
      <w:r w:rsidR="004906C6" w:rsidRPr="00CE065C">
        <w:rPr>
          <w:rFonts w:asciiTheme="majorBidi" w:hAnsiTheme="majorBidi" w:cstheme="majorBidi"/>
          <w:sz w:val="24"/>
          <w:szCs w:val="24"/>
        </w:rPr>
        <w:t xml:space="preserve">au Maroc et quelle place ont les personnes </w:t>
      </w:r>
      <w:r w:rsidR="009B360F" w:rsidRPr="00CE065C">
        <w:rPr>
          <w:rFonts w:asciiTheme="majorBidi" w:hAnsiTheme="majorBidi" w:cstheme="majorBidi"/>
          <w:sz w:val="24"/>
          <w:szCs w:val="24"/>
        </w:rPr>
        <w:t xml:space="preserve">âgées </w:t>
      </w:r>
      <w:r w:rsidR="004906C6" w:rsidRPr="00CE065C">
        <w:rPr>
          <w:rFonts w:asciiTheme="majorBidi" w:hAnsiTheme="majorBidi" w:cstheme="majorBidi"/>
          <w:sz w:val="24"/>
          <w:szCs w:val="24"/>
        </w:rPr>
        <w:t>dans cette structure familiale ?</w:t>
      </w:r>
    </w:p>
    <w:p w:rsidR="004906C6" w:rsidRPr="00CE065C" w:rsidRDefault="004906C6" w:rsidP="00CE065C">
      <w:pPr>
        <w:pStyle w:val="Paragraphedeliste"/>
        <w:numPr>
          <w:ilvl w:val="0"/>
          <w:numId w:val="1"/>
        </w:numPr>
        <w:spacing w:line="360" w:lineRule="auto"/>
        <w:jc w:val="both"/>
        <w:rPr>
          <w:rFonts w:asciiTheme="majorBidi" w:hAnsiTheme="majorBidi" w:cstheme="majorBidi"/>
          <w:sz w:val="24"/>
          <w:szCs w:val="24"/>
        </w:rPr>
      </w:pPr>
      <w:r w:rsidRPr="00CE065C">
        <w:rPr>
          <w:rFonts w:asciiTheme="majorBidi" w:hAnsiTheme="majorBidi" w:cstheme="majorBidi"/>
          <w:sz w:val="24"/>
          <w:szCs w:val="24"/>
        </w:rPr>
        <w:t>Quel rôle joue la famille dans la prise en charge des personnes âgées ?</w:t>
      </w:r>
      <w:r w:rsidR="009B360F" w:rsidRPr="00CE065C">
        <w:rPr>
          <w:rFonts w:asciiTheme="majorBidi" w:hAnsiTheme="majorBidi" w:cstheme="majorBidi"/>
          <w:sz w:val="24"/>
          <w:szCs w:val="24"/>
        </w:rPr>
        <w:t xml:space="preserve"> autrement dit, les relations familiales d’aide aux personnes âgées contribuent-elles à l’amélioration de leurs conditions de vie ?</w:t>
      </w:r>
    </w:p>
    <w:p w:rsidR="009B360F" w:rsidRPr="00CE065C" w:rsidRDefault="009B360F" w:rsidP="00CE065C">
      <w:pPr>
        <w:pStyle w:val="Paragraphedeliste"/>
        <w:numPr>
          <w:ilvl w:val="0"/>
          <w:numId w:val="1"/>
        </w:numPr>
        <w:spacing w:line="360" w:lineRule="auto"/>
        <w:jc w:val="both"/>
        <w:rPr>
          <w:rFonts w:asciiTheme="majorBidi" w:hAnsiTheme="majorBidi" w:cstheme="majorBidi"/>
          <w:sz w:val="24"/>
          <w:szCs w:val="24"/>
        </w:rPr>
      </w:pPr>
      <w:r w:rsidRPr="00CE065C">
        <w:rPr>
          <w:rFonts w:asciiTheme="majorBidi" w:hAnsiTheme="majorBidi" w:cstheme="majorBidi"/>
          <w:sz w:val="24"/>
          <w:szCs w:val="24"/>
        </w:rPr>
        <w:t>La tendance à la nucléarisation des familles marocaines freine-t-elle l’amélioration du bien-être des personnes âgées ?</w:t>
      </w:r>
    </w:p>
    <w:p w:rsidR="00135EDC" w:rsidRDefault="00135EDC" w:rsidP="00DC206E">
      <w:pPr>
        <w:pStyle w:val="Titre1"/>
        <w:spacing w:after="100" w:afterAutospacing="1"/>
        <w:rPr>
          <w:rFonts w:asciiTheme="majorBidi" w:hAnsiTheme="majorBidi"/>
          <w:b/>
          <w:bCs/>
          <w:color w:val="auto"/>
          <w:sz w:val="28"/>
          <w:szCs w:val="28"/>
        </w:rPr>
      </w:pPr>
      <w:r w:rsidRPr="00135EDC">
        <w:rPr>
          <w:rFonts w:asciiTheme="majorBidi" w:hAnsiTheme="majorBidi"/>
          <w:b/>
          <w:bCs/>
          <w:color w:val="auto"/>
          <w:sz w:val="28"/>
          <w:szCs w:val="28"/>
        </w:rPr>
        <w:t xml:space="preserve">II. Données </w:t>
      </w:r>
      <w:r w:rsidR="00DC206E">
        <w:rPr>
          <w:rFonts w:asciiTheme="majorBidi" w:hAnsiTheme="majorBidi"/>
          <w:b/>
          <w:bCs/>
          <w:color w:val="auto"/>
          <w:sz w:val="28"/>
          <w:szCs w:val="28"/>
        </w:rPr>
        <w:t>utilisées</w:t>
      </w:r>
    </w:p>
    <w:p w:rsidR="0023211B" w:rsidRDefault="0023211B" w:rsidP="0023211B">
      <w:pPr>
        <w:spacing w:line="360" w:lineRule="auto"/>
        <w:jc w:val="both"/>
        <w:rPr>
          <w:rFonts w:asciiTheme="majorBidi" w:hAnsiTheme="majorBidi" w:cstheme="majorBidi"/>
          <w:sz w:val="24"/>
          <w:szCs w:val="24"/>
        </w:rPr>
      </w:pPr>
      <w:r w:rsidRPr="0023211B">
        <w:rPr>
          <w:rFonts w:asciiTheme="majorBidi" w:hAnsiTheme="majorBidi" w:cstheme="majorBidi"/>
          <w:sz w:val="24"/>
          <w:szCs w:val="24"/>
        </w:rPr>
        <w:t xml:space="preserve">La principale source de données utilisée </w:t>
      </w:r>
      <w:r>
        <w:rPr>
          <w:rFonts w:asciiTheme="majorBidi" w:hAnsiTheme="majorBidi" w:cstheme="majorBidi"/>
          <w:sz w:val="24"/>
          <w:szCs w:val="24"/>
        </w:rPr>
        <w:t>pour répondre aux questions susmentionnées</w:t>
      </w:r>
      <w:r w:rsidRPr="0023211B">
        <w:rPr>
          <w:rFonts w:asciiTheme="majorBidi" w:hAnsiTheme="majorBidi" w:cstheme="majorBidi"/>
          <w:sz w:val="24"/>
          <w:szCs w:val="24"/>
        </w:rPr>
        <w:t xml:space="preserve"> est l'Enquête Nationale sur les Personnes Âgées (ENPA) de 2006 menée par le Haut</w:t>
      </w:r>
      <w:r>
        <w:rPr>
          <w:rFonts w:asciiTheme="majorBidi" w:hAnsiTheme="majorBidi" w:cstheme="majorBidi"/>
          <w:sz w:val="24"/>
          <w:szCs w:val="24"/>
        </w:rPr>
        <w:t>-Commissariat au Plan (CERED).</w:t>
      </w:r>
    </w:p>
    <w:p w:rsidR="0023211B" w:rsidRPr="0023211B" w:rsidRDefault="0023211B" w:rsidP="0023211B">
      <w:pPr>
        <w:spacing w:line="360" w:lineRule="auto"/>
        <w:jc w:val="both"/>
        <w:rPr>
          <w:rFonts w:asciiTheme="majorBidi" w:hAnsiTheme="majorBidi" w:cstheme="majorBidi"/>
          <w:sz w:val="24"/>
          <w:szCs w:val="24"/>
        </w:rPr>
      </w:pPr>
      <w:r w:rsidRPr="0023211B">
        <w:rPr>
          <w:rFonts w:asciiTheme="majorBidi" w:hAnsiTheme="majorBidi" w:cstheme="majorBidi"/>
          <w:sz w:val="24"/>
          <w:szCs w:val="24"/>
        </w:rPr>
        <w:t>Cette enquête a touché les ménages marocains dont au moins une personne âgée (60 ans et plus) est membre. Elle a été réalisée au niveau national sur un échantillon représentant toutes les couches sociales et régions du pays, soit 2500 ménages regroupant 3010 personnes âgées.</w:t>
      </w:r>
    </w:p>
    <w:p w:rsidR="0023211B" w:rsidRPr="0023211B" w:rsidRDefault="0023211B" w:rsidP="0023211B">
      <w:pPr>
        <w:spacing w:line="360" w:lineRule="auto"/>
        <w:jc w:val="both"/>
        <w:rPr>
          <w:rFonts w:asciiTheme="majorBidi" w:hAnsiTheme="majorBidi" w:cstheme="majorBidi"/>
          <w:sz w:val="24"/>
          <w:szCs w:val="24"/>
        </w:rPr>
      </w:pPr>
      <w:r w:rsidRPr="0023211B">
        <w:rPr>
          <w:rFonts w:asciiTheme="majorBidi" w:hAnsiTheme="majorBidi" w:cstheme="majorBidi"/>
          <w:sz w:val="24"/>
          <w:szCs w:val="24"/>
        </w:rPr>
        <w:t>Cette enquête comprend deux types de questionnaires :</w:t>
      </w:r>
    </w:p>
    <w:p w:rsidR="0023211B" w:rsidRPr="0023211B" w:rsidRDefault="0023211B" w:rsidP="0023211B">
      <w:pPr>
        <w:spacing w:line="360" w:lineRule="auto"/>
        <w:jc w:val="both"/>
        <w:rPr>
          <w:rFonts w:asciiTheme="majorBidi" w:hAnsiTheme="majorBidi" w:cstheme="majorBidi"/>
          <w:sz w:val="24"/>
          <w:szCs w:val="24"/>
        </w:rPr>
      </w:pPr>
      <w:r w:rsidRPr="0023211B">
        <w:rPr>
          <w:rFonts w:asciiTheme="majorBidi" w:hAnsiTheme="majorBidi" w:cstheme="majorBidi"/>
          <w:sz w:val="24"/>
          <w:szCs w:val="24"/>
        </w:rPr>
        <w:t>-un questionnaire ménage constitué des questions individuelles permettant d'avoir des informations sur les caractéristiques démographiques, d'instruction et du logement des membres du ménage.</w:t>
      </w:r>
    </w:p>
    <w:p w:rsidR="0023211B" w:rsidRPr="0023211B" w:rsidRDefault="0023211B" w:rsidP="0023211B">
      <w:pPr>
        <w:spacing w:line="360" w:lineRule="auto"/>
        <w:jc w:val="both"/>
        <w:rPr>
          <w:rFonts w:asciiTheme="majorBidi" w:hAnsiTheme="majorBidi" w:cstheme="majorBidi"/>
          <w:sz w:val="24"/>
          <w:szCs w:val="24"/>
        </w:rPr>
      </w:pPr>
      <w:r w:rsidRPr="0023211B">
        <w:rPr>
          <w:rFonts w:asciiTheme="majorBidi" w:hAnsiTheme="majorBidi" w:cstheme="majorBidi"/>
          <w:sz w:val="24"/>
          <w:szCs w:val="24"/>
        </w:rPr>
        <w:lastRenderedPageBreak/>
        <w:t>-un questionnaire individuel constitué des questions posées aux personnes âgées de 60 ans et plus, réparties en 5 modules :</w:t>
      </w:r>
    </w:p>
    <w:p w:rsidR="0023211B" w:rsidRPr="0023211B" w:rsidRDefault="0023211B" w:rsidP="0023211B">
      <w:pPr>
        <w:spacing w:after="0"/>
        <w:jc w:val="both"/>
        <w:rPr>
          <w:rFonts w:asciiTheme="majorBidi" w:hAnsiTheme="majorBidi" w:cstheme="majorBidi"/>
          <w:sz w:val="24"/>
          <w:szCs w:val="24"/>
        </w:rPr>
      </w:pPr>
      <w:r w:rsidRPr="0023211B">
        <w:rPr>
          <w:rFonts w:asciiTheme="majorBidi" w:hAnsiTheme="majorBidi" w:cstheme="majorBidi"/>
          <w:sz w:val="24"/>
          <w:szCs w:val="24"/>
        </w:rPr>
        <w:t xml:space="preserve">Module A. Relations familiales et extra-familiales. </w:t>
      </w:r>
    </w:p>
    <w:p w:rsidR="0023211B" w:rsidRPr="0023211B" w:rsidRDefault="0023211B" w:rsidP="0023211B">
      <w:pPr>
        <w:spacing w:after="0"/>
        <w:jc w:val="both"/>
        <w:rPr>
          <w:rFonts w:asciiTheme="majorBidi" w:hAnsiTheme="majorBidi" w:cstheme="majorBidi"/>
          <w:sz w:val="24"/>
          <w:szCs w:val="24"/>
        </w:rPr>
      </w:pPr>
      <w:r w:rsidRPr="0023211B">
        <w:rPr>
          <w:rFonts w:asciiTheme="majorBidi" w:hAnsiTheme="majorBidi" w:cstheme="majorBidi"/>
          <w:sz w:val="24"/>
          <w:szCs w:val="24"/>
        </w:rPr>
        <w:t>Module B. Retraite et activité.</w:t>
      </w:r>
    </w:p>
    <w:p w:rsidR="0023211B" w:rsidRPr="0023211B" w:rsidRDefault="0023211B" w:rsidP="0023211B">
      <w:pPr>
        <w:spacing w:after="0"/>
        <w:jc w:val="both"/>
        <w:rPr>
          <w:rFonts w:asciiTheme="majorBidi" w:hAnsiTheme="majorBidi" w:cstheme="majorBidi"/>
          <w:sz w:val="24"/>
          <w:szCs w:val="24"/>
        </w:rPr>
      </w:pPr>
      <w:r w:rsidRPr="0023211B">
        <w:rPr>
          <w:rFonts w:asciiTheme="majorBidi" w:hAnsiTheme="majorBidi" w:cstheme="majorBidi"/>
          <w:sz w:val="24"/>
          <w:szCs w:val="24"/>
        </w:rPr>
        <w:t xml:space="preserve">Module C. Éducation. </w:t>
      </w:r>
    </w:p>
    <w:p w:rsidR="0023211B" w:rsidRPr="0023211B" w:rsidRDefault="0023211B" w:rsidP="0023211B">
      <w:pPr>
        <w:spacing w:after="0"/>
        <w:jc w:val="both"/>
        <w:rPr>
          <w:rFonts w:asciiTheme="majorBidi" w:hAnsiTheme="majorBidi" w:cstheme="majorBidi"/>
          <w:sz w:val="24"/>
          <w:szCs w:val="24"/>
        </w:rPr>
      </w:pPr>
      <w:r w:rsidRPr="0023211B">
        <w:rPr>
          <w:rFonts w:asciiTheme="majorBidi" w:hAnsiTheme="majorBidi" w:cstheme="majorBidi"/>
          <w:sz w:val="24"/>
          <w:szCs w:val="24"/>
        </w:rPr>
        <w:t>Module D. Problèmes et avantages de devenir âgé(e).</w:t>
      </w:r>
    </w:p>
    <w:p w:rsidR="0023211B" w:rsidRPr="0023211B" w:rsidRDefault="0023211B" w:rsidP="0023211B">
      <w:pPr>
        <w:spacing w:after="0"/>
        <w:jc w:val="both"/>
        <w:rPr>
          <w:rFonts w:asciiTheme="majorBidi" w:hAnsiTheme="majorBidi" w:cstheme="majorBidi"/>
          <w:sz w:val="24"/>
          <w:szCs w:val="24"/>
        </w:rPr>
      </w:pPr>
      <w:r w:rsidRPr="0023211B">
        <w:rPr>
          <w:rFonts w:asciiTheme="majorBidi" w:hAnsiTheme="majorBidi" w:cstheme="majorBidi"/>
          <w:sz w:val="24"/>
          <w:szCs w:val="24"/>
        </w:rPr>
        <w:t>Module E. État de santé.</w:t>
      </w:r>
    </w:p>
    <w:p w:rsidR="00A87460" w:rsidRPr="00844BD4" w:rsidRDefault="0023211B" w:rsidP="00844BD4">
      <w:pPr>
        <w:spacing w:line="360" w:lineRule="auto"/>
        <w:jc w:val="both"/>
        <w:rPr>
          <w:rFonts w:asciiTheme="majorBidi" w:hAnsiTheme="majorBidi" w:cstheme="majorBidi"/>
          <w:sz w:val="24"/>
          <w:szCs w:val="24"/>
        </w:rPr>
      </w:pPr>
      <w:r w:rsidRPr="0023211B">
        <w:rPr>
          <w:rFonts w:asciiTheme="majorBidi" w:hAnsiTheme="majorBidi" w:cstheme="majorBidi"/>
          <w:sz w:val="24"/>
          <w:szCs w:val="24"/>
        </w:rPr>
        <w:t>Le traitement des données s’est effectué sous le logiciel StataIC 12, qui est un logiciel statistique complet, dont les modules couvrent tous les aspects des études statistiques et économétriques.</w:t>
      </w:r>
    </w:p>
    <w:p w:rsidR="00C176C0" w:rsidRPr="00C176C0" w:rsidRDefault="00682ADA" w:rsidP="00C176C0">
      <w:pPr>
        <w:pStyle w:val="Titre1"/>
        <w:spacing w:after="100" w:afterAutospacing="1"/>
        <w:rPr>
          <w:rFonts w:asciiTheme="majorBidi" w:hAnsiTheme="majorBidi"/>
          <w:b/>
          <w:bCs/>
          <w:color w:val="auto"/>
          <w:sz w:val="28"/>
          <w:szCs w:val="28"/>
        </w:rPr>
      </w:pPr>
      <w:r>
        <w:rPr>
          <w:rFonts w:asciiTheme="majorBidi" w:hAnsiTheme="majorBidi"/>
          <w:b/>
          <w:bCs/>
          <w:color w:val="auto"/>
          <w:sz w:val="28"/>
          <w:szCs w:val="28"/>
        </w:rPr>
        <w:t>III</w:t>
      </w:r>
      <w:r w:rsidR="00135EDC" w:rsidRPr="007B3D68">
        <w:rPr>
          <w:rFonts w:asciiTheme="majorBidi" w:hAnsiTheme="majorBidi"/>
          <w:b/>
          <w:bCs/>
          <w:color w:val="auto"/>
          <w:sz w:val="28"/>
          <w:szCs w:val="28"/>
        </w:rPr>
        <w:t>.</w:t>
      </w:r>
      <w:r w:rsidR="007B3D68" w:rsidRPr="007B3D68">
        <w:rPr>
          <w:rFonts w:asciiTheme="majorBidi" w:hAnsiTheme="majorBidi"/>
          <w:b/>
          <w:bCs/>
          <w:color w:val="auto"/>
          <w:sz w:val="28"/>
          <w:szCs w:val="28"/>
        </w:rPr>
        <w:t xml:space="preserve"> É</w:t>
      </w:r>
      <w:r w:rsidR="00C176C0">
        <w:rPr>
          <w:rFonts w:asciiTheme="majorBidi" w:hAnsiTheme="majorBidi"/>
          <w:b/>
          <w:bCs/>
          <w:color w:val="auto"/>
          <w:sz w:val="28"/>
          <w:szCs w:val="28"/>
        </w:rPr>
        <w:t>tats des lieux</w:t>
      </w:r>
      <w:r w:rsidR="007B3D68" w:rsidRPr="007B3D68">
        <w:rPr>
          <w:rFonts w:asciiTheme="majorBidi" w:hAnsiTheme="majorBidi"/>
          <w:b/>
          <w:bCs/>
          <w:color w:val="auto"/>
          <w:sz w:val="28"/>
          <w:szCs w:val="28"/>
        </w:rPr>
        <w:t xml:space="preserve"> de la population âgée au Maroc</w:t>
      </w:r>
    </w:p>
    <w:p w:rsidR="00A93207" w:rsidRDefault="00682ADA" w:rsidP="00A93207">
      <w:pPr>
        <w:pStyle w:val="Titre2"/>
        <w:spacing w:after="100" w:afterAutospacing="1"/>
        <w:rPr>
          <w:rFonts w:asciiTheme="majorBidi" w:hAnsiTheme="majorBidi"/>
          <w:b/>
          <w:bCs/>
          <w:color w:val="auto"/>
        </w:rPr>
      </w:pPr>
      <w:r>
        <w:rPr>
          <w:rFonts w:asciiTheme="majorBidi" w:hAnsiTheme="majorBidi"/>
          <w:b/>
          <w:bCs/>
          <w:color w:val="auto"/>
        </w:rPr>
        <w:t>III</w:t>
      </w:r>
      <w:r w:rsidR="00C176C0" w:rsidRPr="00C176C0">
        <w:rPr>
          <w:rFonts w:asciiTheme="majorBidi" w:hAnsiTheme="majorBidi"/>
          <w:b/>
          <w:bCs/>
          <w:color w:val="auto"/>
        </w:rPr>
        <w:t>.</w:t>
      </w:r>
      <w:r w:rsidR="005953AD">
        <w:rPr>
          <w:rFonts w:asciiTheme="majorBidi" w:hAnsiTheme="majorBidi"/>
          <w:b/>
          <w:bCs/>
          <w:color w:val="auto"/>
        </w:rPr>
        <w:t>1.</w:t>
      </w:r>
      <w:r w:rsidR="00C176C0" w:rsidRPr="00C176C0">
        <w:rPr>
          <w:rFonts w:asciiTheme="majorBidi" w:hAnsiTheme="majorBidi"/>
          <w:b/>
          <w:bCs/>
          <w:color w:val="auto"/>
        </w:rPr>
        <w:t xml:space="preserve"> Évolution démographique des personnes âgées au Maroc</w:t>
      </w:r>
    </w:p>
    <w:p w:rsidR="000C68A9" w:rsidRDefault="000C68A9" w:rsidP="000C68A9">
      <w:pPr>
        <w:spacing w:line="360" w:lineRule="auto"/>
        <w:ind w:firstLine="708"/>
        <w:jc w:val="both"/>
        <w:rPr>
          <w:rFonts w:asciiTheme="majorBidi" w:hAnsiTheme="majorBidi" w:cstheme="majorBidi"/>
          <w:sz w:val="24"/>
          <w:szCs w:val="24"/>
        </w:rPr>
      </w:pPr>
      <w:r w:rsidRPr="000C68A9">
        <w:rPr>
          <w:rFonts w:asciiTheme="majorBidi" w:hAnsiTheme="majorBidi" w:cstheme="majorBidi"/>
          <w:sz w:val="24"/>
          <w:szCs w:val="24"/>
        </w:rPr>
        <w:t>Le Maroc fait face à une modification progressive de sa pyramide des âges se caractérisant par une augmentation de la proportion des âges élevés et une diminution concomitante du poids relatif des âges jeunes.</w:t>
      </w:r>
      <w:r>
        <w:rPr>
          <w:rFonts w:asciiTheme="majorBidi" w:hAnsiTheme="majorBidi" w:cstheme="majorBidi"/>
          <w:sz w:val="24"/>
          <w:szCs w:val="24"/>
        </w:rPr>
        <w:t xml:space="preserve"> Il s’agit du phénomène du vieillissement de la population.</w:t>
      </w:r>
    </w:p>
    <w:p w:rsidR="000C68A9" w:rsidRDefault="000C68A9" w:rsidP="000C68A9">
      <w:pPr>
        <w:spacing w:line="360" w:lineRule="auto"/>
        <w:jc w:val="both"/>
        <w:rPr>
          <w:rFonts w:asciiTheme="majorBidi" w:hAnsiTheme="majorBidi" w:cstheme="majorBidi"/>
          <w:sz w:val="24"/>
          <w:szCs w:val="24"/>
        </w:rPr>
      </w:pPr>
      <w:r w:rsidRPr="000C68A9">
        <w:rPr>
          <w:rFonts w:asciiTheme="majorBidi" w:hAnsiTheme="majorBidi" w:cstheme="majorBidi"/>
          <w:sz w:val="24"/>
          <w:szCs w:val="24"/>
        </w:rPr>
        <w:t>En effet, en termes absolus, l’effectif des personnes âgées de 60 ans et plus qui représentait moins d’un million en 1960 est passé à 2,67 millions de personnes en 2010. Il a augmenté à un rythme d’accroissement démographique de 2,4% par an, plus élevé que celui de l’ensemble de population qui est de 2%.</w:t>
      </w:r>
    </w:p>
    <w:p w:rsidR="000C68A9" w:rsidRDefault="000C68A9" w:rsidP="000C68A9">
      <w:pPr>
        <w:spacing w:line="360" w:lineRule="auto"/>
        <w:jc w:val="both"/>
        <w:rPr>
          <w:rFonts w:asciiTheme="majorBidi" w:hAnsiTheme="majorBidi" w:cstheme="majorBidi"/>
          <w:sz w:val="24"/>
          <w:szCs w:val="24"/>
        </w:rPr>
      </w:pPr>
      <w:r>
        <w:rPr>
          <w:rFonts w:asciiTheme="majorBidi" w:hAnsiTheme="majorBidi" w:cstheme="majorBidi"/>
          <w:sz w:val="24"/>
          <w:szCs w:val="24"/>
        </w:rPr>
        <w:t>L</w:t>
      </w:r>
      <w:r w:rsidRPr="000C68A9">
        <w:rPr>
          <w:rFonts w:asciiTheme="majorBidi" w:hAnsiTheme="majorBidi" w:cstheme="majorBidi"/>
          <w:sz w:val="24"/>
          <w:szCs w:val="24"/>
        </w:rPr>
        <w:t>a projection des tendances démographiques de la population marocaine selon les groupes d’âges</w:t>
      </w:r>
      <w:r>
        <w:rPr>
          <w:rFonts w:asciiTheme="majorBidi" w:hAnsiTheme="majorBidi" w:cstheme="majorBidi"/>
          <w:sz w:val="24"/>
          <w:szCs w:val="24"/>
        </w:rPr>
        <w:t xml:space="preserve"> est illustrée dans le</w:t>
      </w:r>
      <w:r w:rsidRPr="000C68A9">
        <w:rPr>
          <w:rFonts w:asciiTheme="majorBidi" w:hAnsiTheme="majorBidi" w:cstheme="majorBidi"/>
          <w:sz w:val="24"/>
          <w:szCs w:val="24"/>
        </w:rPr>
        <w:t>t</w:t>
      </w:r>
      <w:r>
        <w:rPr>
          <w:rFonts w:asciiTheme="majorBidi" w:hAnsiTheme="majorBidi" w:cstheme="majorBidi"/>
          <w:sz w:val="24"/>
          <w:szCs w:val="24"/>
        </w:rPr>
        <w:t>riplot ci-dessous</w:t>
      </w:r>
      <w:r w:rsidRPr="000C68A9">
        <w:rPr>
          <w:rFonts w:asciiTheme="majorBidi" w:hAnsiTheme="majorBidi" w:cstheme="majorBidi"/>
          <w:sz w:val="24"/>
          <w:szCs w:val="24"/>
        </w:rPr>
        <w:t xml:space="preserve">. </w:t>
      </w:r>
      <w:r>
        <w:rPr>
          <w:rFonts w:asciiTheme="majorBidi" w:hAnsiTheme="majorBidi" w:cstheme="majorBidi"/>
          <w:sz w:val="24"/>
          <w:szCs w:val="24"/>
        </w:rPr>
        <w:t>Il en ressort que</w:t>
      </w:r>
      <w:r w:rsidRPr="000C68A9">
        <w:rPr>
          <w:rFonts w:asciiTheme="majorBidi" w:hAnsiTheme="majorBidi" w:cstheme="majorBidi"/>
          <w:sz w:val="24"/>
          <w:szCs w:val="24"/>
        </w:rPr>
        <w:t xml:space="preserve"> la proportion des personnes ayant moins de 15 ans va connaître une baisse considérable: 27,5% en 2010 contre 17,2% en 2050. Quant à la proportion des personnes âgées entre 15 et 59 ans, elle n’allait s’accroitre que légèrement entre 2010 et 2018 (respectivement 64,2% et 64,9%). Et ce n’est qu’à partir de 2018, que ce même groupe d’âge, va faire face à une diminution de sa proportion pour atteindre 59,2% en 2050. </w:t>
      </w:r>
    </w:p>
    <w:p w:rsidR="002E1ADE" w:rsidRDefault="002E1ADE" w:rsidP="000C68A9">
      <w:pPr>
        <w:spacing w:line="360" w:lineRule="auto"/>
        <w:jc w:val="both"/>
        <w:rPr>
          <w:rFonts w:asciiTheme="majorBidi" w:hAnsiTheme="majorBidi" w:cstheme="majorBidi"/>
          <w:sz w:val="24"/>
          <w:szCs w:val="24"/>
        </w:rPr>
      </w:pPr>
    </w:p>
    <w:p w:rsidR="002E1ADE" w:rsidRDefault="002E1ADE" w:rsidP="000C68A9">
      <w:pPr>
        <w:spacing w:line="360" w:lineRule="auto"/>
        <w:jc w:val="both"/>
        <w:rPr>
          <w:rFonts w:asciiTheme="majorBidi" w:hAnsiTheme="majorBidi" w:cstheme="majorBidi"/>
          <w:sz w:val="24"/>
          <w:szCs w:val="24"/>
        </w:rPr>
      </w:pPr>
    </w:p>
    <w:p w:rsidR="00C76529" w:rsidRDefault="00C76529" w:rsidP="00595BB0">
      <w:pPr>
        <w:pStyle w:val="Sous-titre"/>
        <w:spacing w:after="0"/>
        <w:jc w:val="center"/>
        <w:rPr>
          <w:noProof/>
          <w:shd w:val="clear" w:color="auto" w:fill="FFFFFF"/>
          <w:lang w:eastAsia="fr-FR"/>
        </w:rPr>
      </w:pPr>
      <w:bookmarkStart w:id="0" w:name="_Toc439810051"/>
      <w:r w:rsidRPr="00C76529">
        <w:rPr>
          <w:rStyle w:val="Emphaseple"/>
          <w:rFonts w:asciiTheme="majorBidi" w:hAnsiTheme="majorBidi" w:cstheme="majorBidi"/>
          <w:b/>
          <w:bCs/>
          <w:color w:val="auto"/>
          <w:sz w:val="24"/>
          <w:szCs w:val="24"/>
        </w:rPr>
        <w:t>Graphique 1 : Évolution de la structure de la p</w:t>
      </w:r>
      <w:r w:rsidR="00595BB0">
        <w:rPr>
          <w:rStyle w:val="Emphaseple"/>
          <w:rFonts w:asciiTheme="majorBidi" w:hAnsiTheme="majorBidi" w:cstheme="majorBidi"/>
          <w:b/>
          <w:bCs/>
          <w:color w:val="auto"/>
          <w:sz w:val="24"/>
          <w:szCs w:val="24"/>
        </w:rPr>
        <w:t xml:space="preserve">opulation par groupes d’âges au </w:t>
      </w:r>
      <w:r w:rsidRPr="00C76529">
        <w:rPr>
          <w:rStyle w:val="Emphaseple"/>
          <w:rFonts w:asciiTheme="majorBidi" w:hAnsiTheme="majorBidi" w:cstheme="majorBidi"/>
          <w:b/>
          <w:bCs/>
          <w:color w:val="auto"/>
          <w:sz w:val="24"/>
          <w:szCs w:val="24"/>
        </w:rPr>
        <w:t>Maroc</w:t>
      </w:r>
      <w:bookmarkEnd w:id="0"/>
    </w:p>
    <w:p w:rsidR="00C76529" w:rsidRPr="00595BB0" w:rsidRDefault="00595BB0" w:rsidP="00595BB0">
      <w:pPr>
        <w:jc w:val="center"/>
        <w:rPr>
          <w:lang w:eastAsia="fr-FR"/>
        </w:rPr>
      </w:pPr>
      <w:r>
        <w:rPr>
          <w:noProof/>
          <w:shd w:val="clear" w:color="auto" w:fill="FFFFFF"/>
          <w:lang w:eastAsia="fr-FR"/>
        </w:rPr>
        <w:lastRenderedPageBreak/>
        <w:drawing>
          <wp:inline distT="0" distB="0" distL="0" distR="0">
            <wp:extent cx="4867943" cy="3181350"/>
            <wp:effectExtent l="0" t="0" r="8890" b="0"/>
            <wp:docPr id="3" name="Picture 3" descr="triplot proj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triplot projection"/>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898221" cy="3201138"/>
                    </a:xfrm>
                    <a:prstGeom prst="rect">
                      <a:avLst/>
                    </a:prstGeom>
                    <a:noFill/>
                    <a:ln>
                      <a:noFill/>
                    </a:ln>
                  </pic:spPr>
                </pic:pic>
              </a:graphicData>
            </a:graphic>
          </wp:inline>
        </w:drawing>
      </w:r>
      <w:r>
        <w:rPr>
          <w:lang w:eastAsia="fr-FR"/>
        </w:rPr>
        <w:br/>
      </w:r>
      <w:r w:rsidR="00C76529" w:rsidRPr="00A11EE9">
        <w:rPr>
          <w:sz w:val="24"/>
          <w:szCs w:val="24"/>
        </w:rPr>
        <w:t>Source : Traitements des auteurs à partir des Projections démographiques 2007, HCP</w:t>
      </w:r>
    </w:p>
    <w:p w:rsidR="00C76529" w:rsidRDefault="0023211B" w:rsidP="000C68A9">
      <w:pPr>
        <w:spacing w:line="360" w:lineRule="auto"/>
        <w:jc w:val="both"/>
        <w:rPr>
          <w:rFonts w:asciiTheme="majorBidi" w:hAnsiTheme="majorBidi" w:cstheme="majorBidi"/>
          <w:sz w:val="24"/>
          <w:szCs w:val="24"/>
        </w:rPr>
      </w:pPr>
      <w:r w:rsidRPr="0023211B">
        <w:rPr>
          <w:rFonts w:asciiTheme="majorBidi" w:hAnsiTheme="majorBidi" w:cstheme="majorBidi"/>
          <w:sz w:val="24"/>
          <w:szCs w:val="24"/>
        </w:rPr>
        <w:t>En ce qui concerne les personnes âgées de 60 ans et plus, ils ne représentaient en 2010 que 8.3 % de l’ensemble de la population marocaine, leur part dans la population totale devrait augmenter de moitié d’ici 2020 pour atteindre 11.5 %. Dix ans plus tard, en 2030, cette part devrait atteindre 15.3 % et compter 5.8 millions d’individus. En 2050, presqu’un marocain sur quatre aura plus de 60 ans.</w:t>
      </w:r>
    </w:p>
    <w:p w:rsidR="0023211B" w:rsidRDefault="00682ADA" w:rsidP="00660147">
      <w:pPr>
        <w:pStyle w:val="Titre2"/>
        <w:spacing w:after="100" w:afterAutospacing="1"/>
        <w:rPr>
          <w:rFonts w:asciiTheme="majorBidi" w:hAnsiTheme="majorBidi"/>
          <w:b/>
          <w:bCs/>
          <w:color w:val="auto"/>
        </w:rPr>
      </w:pPr>
      <w:r>
        <w:rPr>
          <w:rFonts w:asciiTheme="majorBidi" w:hAnsiTheme="majorBidi"/>
          <w:b/>
          <w:bCs/>
          <w:color w:val="auto"/>
        </w:rPr>
        <w:t>III</w:t>
      </w:r>
      <w:r w:rsidR="0023211B" w:rsidRPr="00400556">
        <w:rPr>
          <w:rFonts w:asciiTheme="majorBidi" w:hAnsiTheme="majorBidi"/>
          <w:b/>
          <w:bCs/>
          <w:color w:val="auto"/>
        </w:rPr>
        <w:t xml:space="preserve">.2. </w:t>
      </w:r>
      <w:r w:rsidR="00400556">
        <w:rPr>
          <w:rFonts w:asciiTheme="majorBidi" w:hAnsiTheme="majorBidi"/>
          <w:b/>
          <w:bCs/>
          <w:color w:val="auto"/>
        </w:rPr>
        <w:t>Profil socio</w:t>
      </w:r>
      <w:r w:rsidR="00660147">
        <w:rPr>
          <w:rFonts w:asciiTheme="majorBidi" w:hAnsiTheme="majorBidi"/>
          <w:b/>
          <w:bCs/>
          <w:color w:val="auto"/>
        </w:rPr>
        <w:t>démographique</w:t>
      </w:r>
      <w:r w:rsidR="00400556">
        <w:rPr>
          <w:rFonts w:asciiTheme="majorBidi" w:hAnsiTheme="majorBidi"/>
          <w:b/>
          <w:bCs/>
          <w:color w:val="auto"/>
        </w:rPr>
        <w:t xml:space="preserve"> des personnes âgées au Maroc</w:t>
      </w:r>
    </w:p>
    <w:p w:rsidR="002E1ADE" w:rsidRPr="002E1ADE" w:rsidRDefault="002E1ADE" w:rsidP="002E1ADE">
      <w:pPr>
        <w:pStyle w:val="Titre3"/>
        <w:numPr>
          <w:ilvl w:val="0"/>
          <w:numId w:val="5"/>
        </w:numPr>
        <w:rPr>
          <w:rFonts w:asciiTheme="majorBidi" w:hAnsiTheme="majorBidi"/>
          <w:b/>
          <w:bCs/>
          <w:i/>
          <w:iCs/>
          <w:color w:val="auto"/>
        </w:rPr>
      </w:pPr>
      <w:bookmarkStart w:id="1" w:name="_Toc439810258"/>
      <w:r w:rsidRPr="002E1ADE">
        <w:rPr>
          <w:rFonts w:asciiTheme="majorBidi" w:hAnsiTheme="majorBidi"/>
          <w:b/>
          <w:bCs/>
          <w:i/>
          <w:iCs/>
          <w:color w:val="auto"/>
        </w:rPr>
        <w:t>Répartition par âge, sexe et état matrimonial</w:t>
      </w:r>
      <w:bookmarkEnd w:id="1"/>
      <w:r>
        <w:rPr>
          <w:rFonts w:asciiTheme="majorBidi" w:hAnsiTheme="majorBidi"/>
          <w:b/>
          <w:bCs/>
          <w:i/>
          <w:iCs/>
          <w:color w:val="auto"/>
        </w:rPr>
        <w:t> :</w:t>
      </w:r>
    </w:p>
    <w:p w:rsidR="002E1ADE" w:rsidRPr="002E1ADE" w:rsidRDefault="002E1ADE" w:rsidP="002E1ADE">
      <w:pPr>
        <w:autoSpaceDE w:val="0"/>
        <w:autoSpaceDN w:val="0"/>
        <w:adjustRightInd w:val="0"/>
        <w:spacing w:before="100" w:beforeAutospacing="1" w:after="100" w:afterAutospacing="1" w:line="360" w:lineRule="auto"/>
        <w:ind w:firstLine="360"/>
        <w:jc w:val="both"/>
        <w:rPr>
          <w:rFonts w:asciiTheme="majorBidi" w:hAnsiTheme="majorBidi" w:cstheme="majorBidi"/>
          <w:color w:val="000000"/>
          <w:sz w:val="24"/>
          <w:szCs w:val="24"/>
          <w:shd w:val="clear" w:color="auto" w:fill="FFFFFF"/>
        </w:rPr>
      </w:pPr>
      <w:r w:rsidRPr="002E1ADE">
        <w:rPr>
          <w:rFonts w:asciiTheme="majorBidi" w:hAnsiTheme="majorBidi" w:cstheme="majorBidi"/>
          <w:color w:val="000000"/>
          <w:sz w:val="24"/>
          <w:szCs w:val="24"/>
          <w:shd w:val="clear" w:color="auto" w:fill="FFFFFF"/>
        </w:rPr>
        <w:t>L’âge médian de la population âgée au Maroc est 69 ans. En d’autres termes, 50% des personnes âgées au Maroc ont un âge supérieur à 69 ans. Ainsi que 71.4% des personnes âgées ont un âge compris entre 60 et 74 ans. On peut conclure que les personnes âgées au Maroc constituent une population relativement jeune.</w:t>
      </w:r>
    </w:p>
    <w:p w:rsidR="002E1ADE" w:rsidRPr="002E1ADE" w:rsidRDefault="002E1ADE" w:rsidP="002E1ADE">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r w:rsidRPr="002E1ADE">
        <w:rPr>
          <w:rFonts w:asciiTheme="majorBidi" w:hAnsiTheme="majorBidi" w:cstheme="majorBidi"/>
          <w:color w:val="000000"/>
          <w:sz w:val="24"/>
          <w:szCs w:val="24"/>
          <w:shd w:val="clear" w:color="auto" w:fill="FFFFFF"/>
        </w:rPr>
        <w:t>Les données de l’enquête montrent que 52.2% des personnes âgées sont de sexe féminin dont plus d’un tiers (31.1%) parmi elles sont âgées de plus de 75 ans contre seulement 26.0% pour leurs homologues masculins. Cette concentration explique la longévité des femmes par rapport aux hommes.</w:t>
      </w:r>
    </w:p>
    <w:p w:rsidR="002E1ADE" w:rsidRPr="002E1ADE" w:rsidRDefault="002E1ADE" w:rsidP="002E1ADE">
      <w:pPr>
        <w:autoSpaceDE w:val="0"/>
        <w:autoSpaceDN w:val="0"/>
        <w:adjustRightInd w:val="0"/>
        <w:spacing w:before="100" w:beforeAutospacing="1" w:after="100" w:afterAutospacing="1" w:line="360" w:lineRule="auto"/>
        <w:jc w:val="both"/>
        <w:rPr>
          <w:rFonts w:asciiTheme="majorBidi" w:hAnsiTheme="majorBidi" w:cstheme="majorBidi"/>
          <w:color w:val="000000"/>
          <w:sz w:val="24"/>
          <w:szCs w:val="24"/>
          <w:shd w:val="clear" w:color="auto" w:fill="FFFFFF"/>
        </w:rPr>
      </w:pPr>
    </w:p>
    <w:p w:rsidR="002E1ADE" w:rsidRPr="00AD29CD" w:rsidRDefault="002E1ADE" w:rsidP="002E1ADE">
      <w:pPr>
        <w:pStyle w:val="Sous-titre"/>
        <w:jc w:val="center"/>
        <w:rPr>
          <w:rStyle w:val="Emphaseple"/>
          <w:rFonts w:asciiTheme="majorBidi" w:hAnsiTheme="majorBidi" w:cstheme="majorBidi"/>
          <w:b/>
          <w:bCs/>
          <w:color w:val="auto"/>
          <w:sz w:val="24"/>
          <w:szCs w:val="24"/>
        </w:rPr>
      </w:pPr>
      <w:bookmarkStart w:id="2" w:name="_Toc439810052"/>
      <w:r w:rsidRPr="00AD29CD">
        <w:rPr>
          <w:rStyle w:val="Emphaseple"/>
          <w:rFonts w:asciiTheme="majorBidi" w:hAnsiTheme="majorBidi" w:cstheme="majorBidi"/>
          <w:b/>
          <w:bCs/>
          <w:color w:val="auto"/>
          <w:sz w:val="24"/>
          <w:szCs w:val="24"/>
        </w:rPr>
        <w:lastRenderedPageBreak/>
        <w:t>Tableau 1 : Répartition des personnes âgées (%) selon les classes d’âge et le sexe</w:t>
      </w:r>
      <w:bookmarkEnd w:id="2"/>
    </w:p>
    <w:tbl>
      <w:tblPr>
        <w:tblStyle w:val="GridTable2Accent3"/>
        <w:tblW w:w="5540" w:type="dxa"/>
        <w:jc w:val="center"/>
        <w:tblLook w:val="04A0"/>
      </w:tblPr>
      <w:tblGrid>
        <w:gridCol w:w="2020"/>
        <w:gridCol w:w="1274"/>
        <w:gridCol w:w="1106"/>
        <w:gridCol w:w="1140"/>
      </w:tblGrid>
      <w:tr w:rsidR="002E1ADE" w:rsidRPr="00AD29CD" w:rsidTr="002E1ADE">
        <w:trPr>
          <w:cnfStyle w:val="100000000000"/>
          <w:trHeight w:val="300"/>
          <w:jc w:val="center"/>
        </w:trPr>
        <w:tc>
          <w:tcPr>
            <w:cnfStyle w:val="001000000000"/>
            <w:tcW w:w="2020" w:type="dxa"/>
            <w:vMerge w:val="restart"/>
            <w:noWrap/>
            <w:hideMark/>
          </w:tcPr>
          <w:p w:rsidR="002E1ADE" w:rsidRPr="00AD29CD" w:rsidRDefault="002E1ADE" w:rsidP="00D35A9F">
            <w:pPr>
              <w:jc w:val="cente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Classes d'âge</w:t>
            </w:r>
          </w:p>
        </w:tc>
        <w:tc>
          <w:tcPr>
            <w:tcW w:w="2380" w:type="dxa"/>
            <w:gridSpan w:val="2"/>
            <w:noWrap/>
            <w:hideMark/>
          </w:tcPr>
          <w:p w:rsidR="002E1ADE" w:rsidRPr="00AD29CD" w:rsidRDefault="002E1ADE" w:rsidP="00D35A9F">
            <w:pPr>
              <w:jc w:val="center"/>
              <w:cnfStyle w:val="1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 xml:space="preserve">Sexe </w:t>
            </w:r>
          </w:p>
        </w:tc>
        <w:tc>
          <w:tcPr>
            <w:tcW w:w="1140" w:type="dxa"/>
            <w:vMerge w:val="restart"/>
            <w:noWrap/>
            <w:hideMark/>
          </w:tcPr>
          <w:p w:rsidR="002E1ADE" w:rsidRPr="00AD29CD" w:rsidRDefault="002E1ADE" w:rsidP="00D35A9F">
            <w:pPr>
              <w:jc w:val="center"/>
              <w:cnfStyle w:val="1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Total</w:t>
            </w:r>
          </w:p>
        </w:tc>
      </w:tr>
      <w:tr w:rsidR="002E1ADE" w:rsidRPr="00AD29CD" w:rsidTr="002E1ADE">
        <w:trPr>
          <w:cnfStyle w:val="000000100000"/>
          <w:trHeight w:val="300"/>
          <w:jc w:val="center"/>
        </w:trPr>
        <w:tc>
          <w:tcPr>
            <w:cnfStyle w:val="001000000000"/>
            <w:tcW w:w="2020" w:type="dxa"/>
            <w:vMerge/>
            <w:hideMark/>
          </w:tcPr>
          <w:p w:rsidR="002E1ADE" w:rsidRPr="00AD29CD" w:rsidRDefault="002E1ADE" w:rsidP="00D35A9F">
            <w:pPr>
              <w:rPr>
                <w:rFonts w:asciiTheme="majorBidi" w:eastAsia="Times New Roman" w:hAnsiTheme="majorBidi" w:cstheme="majorBidi"/>
                <w:color w:val="000000"/>
                <w:lang w:eastAsia="fr-FR"/>
              </w:rPr>
            </w:pPr>
          </w:p>
        </w:tc>
        <w:tc>
          <w:tcPr>
            <w:tcW w:w="1274" w:type="dxa"/>
            <w:noWrap/>
            <w:hideMark/>
          </w:tcPr>
          <w:p w:rsidR="002E1ADE" w:rsidRPr="00AD29CD" w:rsidRDefault="002E1ADE"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Masculin</w:t>
            </w:r>
          </w:p>
        </w:tc>
        <w:tc>
          <w:tcPr>
            <w:tcW w:w="1106" w:type="dxa"/>
            <w:noWrap/>
            <w:hideMark/>
          </w:tcPr>
          <w:p w:rsidR="002E1ADE" w:rsidRPr="00AD29CD" w:rsidRDefault="002E1ADE" w:rsidP="00D35A9F">
            <w:pP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Féminin</w:t>
            </w:r>
          </w:p>
        </w:tc>
        <w:tc>
          <w:tcPr>
            <w:tcW w:w="1140" w:type="dxa"/>
            <w:vMerge/>
            <w:hideMark/>
          </w:tcPr>
          <w:p w:rsidR="002E1ADE" w:rsidRPr="00AD29CD" w:rsidRDefault="002E1ADE" w:rsidP="00D35A9F">
            <w:pPr>
              <w:cnfStyle w:val="000000100000"/>
              <w:rPr>
                <w:rFonts w:asciiTheme="majorBidi" w:eastAsia="Times New Roman" w:hAnsiTheme="majorBidi" w:cstheme="majorBidi"/>
                <w:color w:val="000000"/>
                <w:lang w:eastAsia="fr-FR"/>
              </w:rPr>
            </w:pPr>
          </w:p>
        </w:tc>
      </w:tr>
      <w:tr w:rsidR="002E1ADE" w:rsidRPr="00AD29CD" w:rsidTr="002E1ADE">
        <w:trPr>
          <w:trHeight w:val="300"/>
          <w:jc w:val="center"/>
        </w:trPr>
        <w:tc>
          <w:tcPr>
            <w:cnfStyle w:val="001000000000"/>
            <w:tcW w:w="2020" w:type="dxa"/>
            <w:noWrap/>
            <w:hideMark/>
          </w:tcPr>
          <w:p w:rsidR="002E1ADE" w:rsidRPr="00AD29CD" w:rsidRDefault="002E1ADE"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Moins de 65 ans</w:t>
            </w:r>
          </w:p>
        </w:tc>
        <w:tc>
          <w:tcPr>
            <w:tcW w:w="1274" w:type="dxa"/>
            <w:noWrap/>
            <w:hideMark/>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29.46</w:t>
            </w:r>
          </w:p>
        </w:tc>
        <w:tc>
          <w:tcPr>
            <w:tcW w:w="1106" w:type="dxa"/>
            <w:noWrap/>
            <w:hideMark/>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23.89</w:t>
            </w:r>
          </w:p>
        </w:tc>
        <w:tc>
          <w:tcPr>
            <w:tcW w:w="1140" w:type="dxa"/>
            <w:noWrap/>
            <w:hideMark/>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 xml:space="preserve">26.55 </w:t>
            </w:r>
          </w:p>
        </w:tc>
      </w:tr>
      <w:tr w:rsidR="002E1ADE" w:rsidRPr="00AD29CD" w:rsidTr="002E1ADE">
        <w:trPr>
          <w:cnfStyle w:val="000000100000"/>
          <w:trHeight w:val="300"/>
          <w:jc w:val="center"/>
        </w:trPr>
        <w:tc>
          <w:tcPr>
            <w:cnfStyle w:val="001000000000"/>
            <w:tcW w:w="2020" w:type="dxa"/>
            <w:noWrap/>
            <w:hideMark/>
          </w:tcPr>
          <w:p w:rsidR="002E1ADE" w:rsidRPr="00AD29CD" w:rsidRDefault="002E1ADE"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Entre 65 et 69 ans</w:t>
            </w:r>
          </w:p>
        </w:tc>
        <w:tc>
          <w:tcPr>
            <w:tcW w:w="1274" w:type="dxa"/>
            <w:noWrap/>
            <w:hideMark/>
          </w:tcPr>
          <w:p w:rsidR="002E1ADE" w:rsidRPr="00AD29CD" w:rsidRDefault="002E1ADE"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25.21</w:t>
            </w:r>
          </w:p>
        </w:tc>
        <w:tc>
          <w:tcPr>
            <w:tcW w:w="1106" w:type="dxa"/>
            <w:noWrap/>
            <w:hideMark/>
          </w:tcPr>
          <w:p w:rsidR="002E1ADE" w:rsidRPr="00AD29CD" w:rsidRDefault="002E1ADE"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22.52</w:t>
            </w:r>
          </w:p>
        </w:tc>
        <w:tc>
          <w:tcPr>
            <w:tcW w:w="1140" w:type="dxa"/>
            <w:noWrap/>
            <w:hideMark/>
          </w:tcPr>
          <w:p w:rsidR="002E1ADE" w:rsidRPr="00AD29CD" w:rsidRDefault="002E1ADE"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 xml:space="preserve">23.80 </w:t>
            </w:r>
          </w:p>
        </w:tc>
      </w:tr>
      <w:tr w:rsidR="002E1ADE" w:rsidRPr="00AD29CD" w:rsidTr="002E1ADE">
        <w:trPr>
          <w:trHeight w:val="300"/>
          <w:jc w:val="center"/>
        </w:trPr>
        <w:tc>
          <w:tcPr>
            <w:cnfStyle w:val="001000000000"/>
            <w:tcW w:w="2020" w:type="dxa"/>
            <w:noWrap/>
            <w:hideMark/>
          </w:tcPr>
          <w:p w:rsidR="002E1ADE" w:rsidRPr="00AD29CD" w:rsidRDefault="002E1ADE"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Entre 70 et 74 ans</w:t>
            </w:r>
          </w:p>
        </w:tc>
        <w:tc>
          <w:tcPr>
            <w:tcW w:w="1274" w:type="dxa"/>
            <w:noWrap/>
            <w:hideMark/>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19.33</w:t>
            </w:r>
          </w:p>
        </w:tc>
        <w:tc>
          <w:tcPr>
            <w:tcW w:w="1106" w:type="dxa"/>
            <w:noWrap/>
            <w:hideMark/>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22.53</w:t>
            </w:r>
          </w:p>
        </w:tc>
        <w:tc>
          <w:tcPr>
            <w:tcW w:w="1140" w:type="dxa"/>
            <w:noWrap/>
            <w:hideMark/>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 xml:space="preserve">21.00 </w:t>
            </w:r>
          </w:p>
        </w:tc>
      </w:tr>
      <w:tr w:rsidR="002E1ADE" w:rsidRPr="00AD29CD" w:rsidTr="002E1ADE">
        <w:trPr>
          <w:cnfStyle w:val="000000100000"/>
          <w:trHeight w:val="300"/>
          <w:jc w:val="center"/>
        </w:trPr>
        <w:tc>
          <w:tcPr>
            <w:cnfStyle w:val="001000000000"/>
            <w:tcW w:w="2020" w:type="dxa"/>
            <w:noWrap/>
            <w:hideMark/>
          </w:tcPr>
          <w:p w:rsidR="002E1ADE" w:rsidRPr="00AD29CD" w:rsidRDefault="002E1ADE"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75 ans et plus</w:t>
            </w:r>
          </w:p>
        </w:tc>
        <w:tc>
          <w:tcPr>
            <w:tcW w:w="1274" w:type="dxa"/>
            <w:noWrap/>
            <w:hideMark/>
          </w:tcPr>
          <w:p w:rsidR="002E1ADE" w:rsidRPr="00AD29CD" w:rsidRDefault="002E1ADE"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26.00</w:t>
            </w:r>
          </w:p>
        </w:tc>
        <w:tc>
          <w:tcPr>
            <w:tcW w:w="1106" w:type="dxa"/>
            <w:noWrap/>
            <w:hideMark/>
          </w:tcPr>
          <w:p w:rsidR="002E1ADE" w:rsidRPr="00AD29CD" w:rsidRDefault="002E1ADE"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31.06</w:t>
            </w:r>
          </w:p>
        </w:tc>
        <w:tc>
          <w:tcPr>
            <w:tcW w:w="1140" w:type="dxa"/>
            <w:noWrap/>
            <w:hideMark/>
          </w:tcPr>
          <w:p w:rsidR="002E1ADE" w:rsidRPr="00AD29CD" w:rsidRDefault="002E1ADE"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 xml:space="preserve">28.64 </w:t>
            </w:r>
          </w:p>
        </w:tc>
      </w:tr>
      <w:tr w:rsidR="002E1ADE" w:rsidRPr="00AD29CD" w:rsidTr="002E1ADE">
        <w:trPr>
          <w:trHeight w:val="300"/>
          <w:jc w:val="center"/>
        </w:trPr>
        <w:tc>
          <w:tcPr>
            <w:cnfStyle w:val="001000000000"/>
            <w:tcW w:w="2020" w:type="dxa"/>
            <w:noWrap/>
          </w:tcPr>
          <w:p w:rsidR="002E1ADE" w:rsidRPr="00AD29CD" w:rsidRDefault="002E1ADE"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Total</w:t>
            </w:r>
          </w:p>
        </w:tc>
        <w:tc>
          <w:tcPr>
            <w:tcW w:w="1274" w:type="dxa"/>
            <w:noWrap/>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47.80</w:t>
            </w:r>
          </w:p>
        </w:tc>
        <w:tc>
          <w:tcPr>
            <w:tcW w:w="1106" w:type="dxa"/>
            <w:noWrap/>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52.30</w:t>
            </w:r>
          </w:p>
        </w:tc>
        <w:tc>
          <w:tcPr>
            <w:tcW w:w="1140" w:type="dxa"/>
            <w:noWrap/>
          </w:tcPr>
          <w:p w:rsidR="002E1ADE" w:rsidRPr="00AD29CD" w:rsidRDefault="002E1ADE" w:rsidP="00D35A9F">
            <w:pPr>
              <w:jc w:val="center"/>
              <w:cnfStyle w:val="0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100.00</w:t>
            </w:r>
          </w:p>
        </w:tc>
      </w:tr>
    </w:tbl>
    <w:p w:rsidR="002E1ADE" w:rsidRPr="00AD29CD" w:rsidRDefault="002E1ADE" w:rsidP="002E1ADE">
      <w:pPr>
        <w:autoSpaceDE w:val="0"/>
        <w:autoSpaceDN w:val="0"/>
        <w:adjustRightInd w:val="0"/>
        <w:spacing w:after="100" w:afterAutospacing="1" w:line="360" w:lineRule="auto"/>
        <w:jc w:val="center"/>
        <w:rPr>
          <w:rFonts w:asciiTheme="majorBidi" w:hAnsiTheme="majorBidi" w:cstheme="majorBidi"/>
          <w:color w:val="000000"/>
          <w:sz w:val="24"/>
          <w:szCs w:val="24"/>
          <w:shd w:val="clear" w:color="auto" w:fill="FFFFFF"/>
        </w:rPr>
      </w:pPr>
      <w:r w:rsidRPr="00AD29CD">
        <w:rPr>
          <w:rFonts w:asciiTheme="majorBidi" w:hAnsiTheme="majorBidi" w:cstheme="majorBidi"/>
          <w:color w:val="000000"/>
          <w:sz w:val="24"/>
          <w:szCs w:val="24"/>
          <w:shd w:val="clear" w:color="auto" w:fill="FFFFFF"/>
        </w:rPr>
        <w:t>Source : Traitements des auteurs à partir de l’ENPA 2006, HCP</w:t>
      </w:r>
    </w:p>
    <w:p w:rsidR="002E1ADE" w:rsidRPr="00AD29CD" w:rsidRDefault="002E1ADE" w:rsidP="002E1ADE">
      <w:pPr>
        <w:tabs>
          <w:tab w:val="num" w:pos="720"/>
        </w:tabs>
        <w:autoSpaceDE w:val="0"/>
        <w:autoSpaceDN w:val="0"/>
        <w:adjustRightInd w:val="0"/>
        <w:spacing w:after="0" w:line="360" w:lineRule="auto"/>
        <w:jc w:val="both"/>
        <w:rPr>
          <w:rFonts w:asciiTheme="majorBidi" w:hAnsiTheme="majorBidi" w:cstheme="majorBidi"/>
          <w:color w:val="231F20"/>
          <w:sz w:val="20"/>
          <w:szCs w:val="20"/>
        </w:rPr>
      </w:pPr>
      <w:r w:rsidRPr="00AD29CD">
        <w:rPr>
          <w:rFonts w:asciiTheme="majorBidi" w:hAnsiTheme="majorBidi" w:cstheme="majorBidi"/>
          <w:color w:val="000000"/>
          <w:sz w:val="24"/>
          <w:szCs w:val="24"/>
          <w:shd w:val="clear" w:color="auto" w:fill="FFFFFF"/>
        </w:rPr>
        <w:t xml:space="preserve">La ventilation des personnes âgées selon l’état matrimonial révèle que plus de la moitié des personnes âgées (58.5%) sont mariées et plus d’un tiers (35.6%) sont veuves contre seulement 3.8% qui sont célibataires et 2.2% qui sont divorcées. </w:t>
      </w:r>
    </w:p>
    <w:p w:rsidR="00682ADA" w:rsidRDefault="00682ADA">
      <w:pPr>
        <w:rPr>
          <w:rStyle w:val="Emphaseple"/>
          <w:rFonts w:asciiTheme="majorBidi" w:eastAsiaTheme="minorEastAsia" w:hAnsiTheme="majorBidi" w:cstheme="majorBidi"/>
          <w:b/>
          <w:bCs/>
          <w:color w:val="auto"/>
          <w:spacing w:val="15"/>
          <w:sz w:val="24"/>
          <w:szCs w:val="24"/>
        </w:rPr>
      </w:pPr>
      <w:bookmarkStart w:id="3" w:name="_Toc439810053"/>
      <w:r>
        <w:rPr>
          <w:rStyle w:val="Emphaseple"/>
          <w:rFonts w:asciiTheme="majorBidi" w:hAnsiTheme="majorBidi" w:cstheme="majorBidi"/>
          <w:b/>
          <w:bCs/>
          <w:color w:val="auto"/>
          <w:sz w:val="24"/>
          <w:szCs w:val="24"/>
        </w:rPr>
        <w:br w:type="page"/>
      </w:r>
    </w:p>
    <w:p w:rsidR="002E1ADE" w:rsidRPr="00AD29CD" w:rsidRDefault="002E1ADE" w:rsidP="002E1ADE">
      <w:pPr>
        <w:pStyle w:val="Sous-titre"/>
        <w:jc w:val="center"/>
        <w:rPr>
          <w:rStyle w:val="Emphaseple"/>
          <w:rFonts w:asciiTheme="majorBidi" w:hAnsiTheme="majorBidi" w:cstheme="majorBidi"/>
          <w:b/>
          <w:bCs/>
          <w:color w:val="auto"/>
          <w:sz w:val="24"/>
          <w:szCs w:val="24"/>
        </w:rPr>
      </w:pPr>
      <w:r w:rsidRPr="00AD29CD">
        <w:rPr>
          <w:rStyle w:val="Emphaseple"/>
          <w:rFonts w:asciiTheme="majorBidi" w:hAnsiTheme="majorBidi" w:cstheme="majorBidi"/>
          <w:b/>
          <w:bCs/>
          <w:color w:val="auto"/>
          <w:sz w:val="24"/>
          <w:szCs w:val="24"/>
        </w:rPr>
        <w:lastRenderedPageBreak/>
        <w:t>Graphique 2 : Répartition des personnes âgées selon l’état matrimonial et le sexe</w:t>
      </w:r>
      <w:bookmarkEnd w:id="3"/>
    </w:p>
    <w:p w:rsidR="002E1ADE" w:rsidRPr="00AD29CD" w:rsidRDefault="002E1ADE" w:rsidP="002E1ADE">
      <w:pPr>
        <w:autoSpaceDE w:val="0"/>
        <w:autoSpaceDN w:val="0"/>
        <w:adjustRightInd w:val="0"/>
        <w:spacing w:after="100" w:afterAutospacing="1" w:line="360" w:lineRule="auto"/>
        <w:jc w:val="center"/>
        <w:rPr>
          <w:rFonts w:asciiTheme="majorBidi" w:hAnsiTheme="majorBidi" w:cstheme="majorBidi"/>
          <w:color w:val="000000"/>
          <w:sz w:val="24"/>
          <w:szCs w:val="24"/>
          <w:shd w:val="clear" w:color="auto" w:fill="FFFFFF"/>
        </w:rPr>
      </w:pPr>
      <w:r w:rsidRPr="00AD29CD">
        <w:rPr>
          <w:rFonts w:asciiTheme="majorBidi" w:hAnsiTheme="majorBidi" w:cstheme="majorBidi"/>
          <w:noProof/>
          <w:lang w:eastAsia="fr-FR"/>
        </w:rPr>
        <w:drawing>
          <wp:inline distT="0" distB="0" distL="0" distR="0">
            <wp:extent cx="5457671" cy="4200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stretch>
                      <a:fillRect/>
                    </a:stretch>
                  </pic:blipFill>
                  <pic:spPr>
                    <a:xfrm>
                      <a:off x="0" y="0"/>
                      <a:ext cx="5467607" cy="4208172"/>
                    </a:xfrm>
                    <a:prstGeom prst="rect">
                      <a:avLst/>
                    </a:prstGeom>
                  </pic:spPr>
                </pic:pic>
              </a:graphicData>
            </a:graphic>
          </wp:inline>
        </w:drawing>
      </w:r>
      <w:r w:rsidRPr="00AD29CD">
        <w:rPr>
          <w:rFonts w:asciiTheme="majorBidi" w:hAnsiTheme="majorBidi" w:cstheme="majorBidi"/>
          <w:color w:val="000000"/>
          <w:sz w:val="24"/>
          <w:szCs w:val="24"/>
          <w:shd w:val="clear" w:color="auto" w:fill="FFFFFF"/>
        </w:rPr>
        <w:t xml:space="preserve"> Source : Traitements des auteurs à partir de l’ENPA 2006, HCP</w:t>
      </w:r>
    </w:p>
    <w:p w:rsidR="002E1ADE" w:rsidRPr="00AD29CD" w:rsidRDefault="002E1ADE" w:rsidP="002E1ADE">
      <w:pPr>
        <w:tabs>
          <w:tab w:val="num" w:pos="720"/>
        </w:tabs>
        <w:autoSpaceDE w:val="0"/>
        <w:autoSpaceDN w:val="0"/>
        <w:adjustRightInd w:val="0"/>
        <w:spacing w:after="0" w:line="360" w:lineRule="auto"/>
        <w:jc w:val="both"/>
        <w:rPr>
          <w:rFonts w:asciiTheme="majorBidi" w:hAnsiTheme="majorBidi" w:cstheme="majorBidi"/>
          <w:color w:val="000000"/>
          <w:sz w:val="24"/>
          <w:szCs w:val="24"/>
          <w:shd w:val="clear" w:color="auto" w:fill="FFFFFF"/>
        </w:rPr>
      </w:pPr>
      <w:r w:rsidRPr="00AD29CD">
        <w:rPr>
          <w:rFonts w:asciiTheme="majorBidi" w:hAnsiTheme="majorBidi" w:cstheme="majorBidi"/>
          <w:color w:val="000000"/>
          <w:sz w:val="24"/>
          <w:szCs w:val="24"/>
          <w:shd w:val="clear" w:color="auto" w:fill="FFFFFF"/>
        </w:rPr>
        <w:t>Cette distribution met en avant l’existence d’une disparité entre les hommes et les femmes :</w:t>
      </w:r>
    </w:p>
    <w:p w:rsidR="002E1ADE" w:rsidRPr="00AD29CD" w:rsidRDefault="002E1ADE" w:rsidP="00076044">
      <w:pPr>
        <w:autoSpaceDE w:val="0"/>
        <w:autoSpaceDN w:val="0"/>
        <w:adjustRightInd w:val="0"/>
        <w:spacing w:after="100" w:afterAutospacing="1" w:line="360" w:lineRule="auto"/>
        <w:jc w:val="both"/>
        <w:rPr>
          <w:rFonts w:asciiTheme="majorBidi" w:hAnsiTheme="majorBidi" w:cstheme="majorBidi"/>
          <w:color w:val="231F20"/>
          <w:sz w:val="20"/>
          <w:szCs w:val="20"/>
        </w:rPr>
      </w:pPr>
      <w:r w:rsidRPr="00AD29CD">
        <w:rPr>
          <w:rFonts w:asciiTheme="majorBidi" w:hAnsiTheme="majorBidi" w:cstheme="majorBidi"/>
          <w:color w:val="000000"/>
          <w:sz w:val="24"/>
          <w:szCs w:val="24"/>
          <w:shd w:val="clear" w:color="auto" w:fill="FFFFFF"/>
        </w:rPr>
        <w:t>Les hommes âgés de 60 ans et plus sont dans leur grande majorité (89.0%) des mariés, contrairement à leurs homologues féminins qui courent plus le risque de vivre leur vieillesse en tant que veuves (61.2% contre à peu près 7.6% pour les hommes). Ceci est peut être expliqué par la facilité de remariage chez les hommes, même une fois âgés, et dans une moindre mesure la polygamie masculine, ce qui n’est pas le cas pour les femmes âgées. Autrement dit, le veuvage est davantage corrélé aux femmes âgées. Celles-ci ne se remarient pas en général, car elles sont socialement perçues comme ayant définitivement terminé leurs rôles sexuel et reproducteur auxquels les réduit leur statut patriarco-traditionnel.</w:t>
      </w:r>
    </w:p>
    <w:p w:rsidR="00AD29CD" w:rsidRPr="00AD29CD" w:rsidRDefault="0008520F" w:rsidP="00AD29CD">
      <w:pPr>
        <w:pStyle w:val="Titre3"/>
        <w:numPr>
          <w:ilvl w:val="0"/>
          <w:numId w:val="5"/>
        </w:numPr>
        <w:rPr>
          <w:rFonts w:asciiTheme="majorBidi" w:hAnsiTheme="majorBidi"/>
          <w:b/>
          <w:bCs/>
          <w:i/>
          <w:iCs/>
          <w:color w:val="auto"/>
        </w:rPr>
      </w:pPr>
      <w:r w:rsidRPr="00AD29CD">
        <w:rPr>
          <w:rFonts w:asciiTheme="majorBidi" w:hAnsiTheme="majorBidi"/>
          <w:b/>
          <w:bCs/>
          <w:i/>
          <w:iCs/>
          <w:color w:val="auto"/>
        </w:rPr>
        <w:t xml:space="preserve">Répartition par </w:t>
      </w:r>
      <w:r w:rsidR="00AD29CD" w:rsidRPr="00AD29CD">
        <w:rPr>
          <w:rFonts w:asciiTheme="majorBidi" w:hAnsiTheme="majorBidi"/>
          <w:b/>
          <w:bCs/>
          <w:i/>
          <w:iCs/>
          <w:color w:val="auto"/>
        </w:rPr>
        <w:t>niveau</w:t>
      </w:r>
      <w:r w:rsidR="00F55A23">
        <w:rPr>
          <w:rFonts w:asciiTheme="majorBidi" w:hAnsiTheme="majorBidi"/>
          <w:b/>
          <w:bCs/>
          <w:i/>
          <w:iCs/>
          <w:color w:val="auto"/>
        </w:rPr>
        <w:t xml:space="preserve"> de qualification et</w:t>
      </w:r>
      <w:r w:rsidR="00AD29CD" w:rsidRPr="00AD29CD">
        <w:rPr>
          <w:rFonts w:asciiTheme="majorBidi" w:hAnsiTheme="majorBidi"/>
          <w:b/>
          <w:bCs/>
          <w:i/>
          <w:iCs/>
          <w:color w:val="auto"/>
        </w:rPr>
        <w:t xml:space="preserve"> d’éducation</w:t>
      </w:r>
      <w:r w:rsidRPr="00AD29CD">
        <w:rPr>
          <w:rFonts w:asciiTheme="majorBidi" w:hAnsiTheme="majorBidi"/>
          <w:b/>
          <w:bCs/>
          <w:i/>
          <w:iCs/>
          <w:color w:val="auto"/>
        </w:rPr>
        <w:t> :</w:t>
      </w:r>
    </w:p>
    <w:p w:rsidR="00AD29CD" w:rsidRPr="00AD29CD" w:rsidRDefault="00AD29CD" w:rsidP="00AD29CD">
      <w:pPr>
        <w:spacing w:before="100" w:beforeAutospacing="1" w:after="100" w:afterAutospacing="1" w:line="360" w:lineRule="auto"/>
        <w:ind w:firstLine="360"/>
        <w:jc w:val="both"/>
        <w:rPr>
          <w:rFonts w:asciiTheme="majorBidi" w:hAnsiTheme="majorBidi" w:cstheme="majorBidi"/>
          <w:sz w:val="24"/>
          <w:szCs w:val="24"/>
        </w:rPr>
      </w:pPr>
      <w:r w:rsidRPr="00AD29CD">
        <w:rPr>
          <w:rFonts w:asciiTheme="majorBidi" w:hAnsiTheme="majorBidi" w:cstheme="majorBidi"/>
          <w:sz w:val="24"/>
          <w:szCs w:val="24"/>
        </w:rPr>
        <w:t>L'inaptitude à lire représente un problème non négligeable pour tous les individus qui la subissent. En effet, ces derniers trouvent des difficultés à intégrer la société, ce qui limite leur contribution au bien-être collectif et ainsi les empêche de se réaliser pleinement.</w:t>
      </w:r>
    </w:p>
    <w:p w:rsidR="00AD29CD" w:rsidRPr="00AD29CD" w:rsidRDefault="00AD29CD" w:rsidP="00076044">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AD29CD">
        <w:rPr>
          <w:rFonts w:asciiTheme="majorBidi" w:hAnsiTheme="majorBidi" w:cstheme="majorBidi"/>
          <w:sz w:val="24"/>
          <w:szCs w:val="24"/>
        </w:rPr>
        <w:lastRenderedPageBreak/>
        <w:t>Les données de l’enquête révèlent que 82.6% de la population âgée de 60 ans et plus ne savent pas lire et écrire. La répartition par milieu indique que les ruraux sont les plus touchés par l’analphabétisme, où seulement 8.0% parmi eux qui sont capables de lire et écrire. Cette proportion est de 25.8% chez les citadins. En d’autres termes, l'inaptitude à lire est plus aigüe en milieu rural qu'en milieu urbain. Le taux d’alphabétisation parmi les personnes âgées ne cesse de s’améliorer au fil du temps. En effet, les données provisoires du RGPH 2014 donnent un taux d’alphabétisme des personnes âgées de 30.8% à l’échelle nationale (contre 17.4% en 2006), 42.8% en milieu urbain et 13.6% en milieu rural.</w:t>
      </w:r>
    </w:p>
    <w:p w:rsidR="00AD29CD" w:rsidRPr="00F55A23" w:rsidRDefault="00F55A23" w:rsidP="00F55A23">
      <w:pPr>
        <w:pStyle w:val="Sous-titre"/>
        <w:jc w:val="center"/>
        <w:rPr>
          <w:rStyle w:val="Emphaseple"/>
          <w:rFonts w:asciiTheme="majorBidi" w:hAnsiTheme="majorBidi" w:cstheme="majorBidi"/>
          <w:b/>
          <w:bCs/>
          <w:color w:val="auto"/>
          <w:sz w:val="24"/>
          <w:szCs w:val="24"/>
        </w:rPr>
      </w:pPr>
      <w:bookmarkStart w:id="4" w:name="_Toc439810056"/>
      <w:r w:rsidRPr="00F55A23">
        <w:rPr>
          <w:rStyle w:val="Emphaseple"/>
          <w:rFonts w:asciiTheme="majorBidi" w:hAnsiTheme="majorBidi" w:cstheme="majorBidi"/>
          <w:b/>
          <w:bCs/>
          <w:color w:val="auto"/>
          <w:sz w:val="24"/>
          <w:szCs w:val="24"/>
        </w:rPr>
        <w:t>Tableau 2</w:t>
      </w:r>
      <w:r w:rsidR="00AD29CD" w:rsidRPr="00F55A23">
        <w:rPr>
          <w:rStyle w:val="Emphaseple"/>
          <w:rFonts w:asciiTheme="majorBidi" w:hAnsiTheme="majorBidi" w:cstheme="majorBidi"/>
          <w:b/>
          <w:bCs/>
          <w:color w:val="auto"/>
          <w:sz w:val="24"/>
          <w:szCs w:val="24"/>
        </w:rPr>
        <w:t> : Taux d’alphabétisation des personnes âgées selon le milieu et le sexe</w:t>
      </w:r>
      <w:bookmarkEnd w:id="4"/>
    </w:p>
    <w:tbl>
      <w:tblPr>
        <w:tblStyle w:val="ListTable6Colorful-Accent31"/>
        <w:tblW w:w="9072" w:type="dxa"/>
        <w:jc w:val="center"/>
        <w:tblLayout w:type="fixed"/>
        <w:tblLook w:val="04A0"/>
      </w:tblPr>
      <w:tblGrid>
        <w:gridCol w:w="1470"/>
        <w:gridCol w:w="1290"/>
        <w:gridCol w:w="1290"/>
        <w:gridCol w:w="1290"/>
        <w:gridCol w:w="1244"/>
        <w:gridCol w:w="1244"/>
        <w:gridCol w:w="1244"/>
      </w:tblGrid>
      <w:tr w:rsidR="00AD29CD" w:rsidRPr="00AD29CD" w:rsidTr="00D35A9F">
        <w:trPr>
          <w:cnfStyle w:val="100000000000"/>
          <w:trHeight w:val="302"/>
          <w:jc w:val="center"/>
        </w:trPr>
        <w:tc>
          <w:tcPr>
            <w:cnfStyle w:val="001000000000"/>
            <w:tcW w:w="1470" w:type="dxa"/>
            <w:vMerge w:val="restart"/>
            <w:noWrap/>
            <w:hideMark/>
          </w:tcPr>
          <w:p w:rsidR="00AD29CD" w:rsidRPr="00AD29CD" w:rsidRDefault="00AD29CD" w:rsidP="00D35A9F">
            <w:pPr>
              <w:jc w:val="cente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Milieu/sexe</w:t>
            </w:r>
          </w:p>
        </w:tc>
        <w:tc>
          <w:tcPr>
            <w:tcW w:w="3870" w:type="dxa"/>
            <w:gridSpan w:val="3"/>
            <w:noWrap/>
            <w:hideMark/>
          </w:tcPr>
          <w:p w:rsidR="00AD29CD" w:rsidRPr="00AD29CD" w:rsidRDefault="00AD29CD" w:rsidP="00D35A9F">
            <w:pPr>
              <w:jc w:val="center"/>
              <w:cnfStyle w:val="100000000000"/>
              <w:rPr>
                <w:rFonts w:asciiTheme="majorBidi" w:eastAsia="Times New Roman" w:hAnsiTheme="majorBidi" w:cstheme="majorBidi"/>
                <w:b w:val="0"/>
                <w:bCs w:val="0"/>
                <w:color w:val="000000"/>
                <w:lang w:eastAsia="fr-FR"/>
              </w:rPr>
            </w:pPr>
            <w:r w:rsidRPr="00AD29CD">
              <w:rPr>
                <w:rFonts w:asciiTheme="majorBidi" w:eastAsia="Times New Roman" w:hAnsiTheme="majorBidi" w:cstheme="majorBidi"/>
                <w:color w:val="000000"/>
                <w:lang w:eastAsia="fr-FR"/>
              </w:rPr>
              <w:t>2006</w:t>
            </w:r>
          </w:p>
        </w:tc>
        <w:tc>
          <w:tcPr>
            <w:tcW w:w="3732" w:type="dxa"/>
            <w:gridSpan w:val="3"/>
          </w:tcPr>
          <w:p w:rsidR="00AD29CD" w:rsidRPr="00AD29CD" w:rsidRDefault="00AD29CD" w:rsidP="00D35A9F">
            <w:pPr>
              <w:jc w:val="center"/>
              <w:cnfStyle w:val="1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2014</w:t>
            </w:r>
          </w:p>
        </w:tc>
      </w:tr>
      <w:tr w:rsidR="00AD29CD" w:rsidRPr="00AD29CD" w:rsidTr="00D35A9F">
        <w:trPr>
          <w:cnfStyle w:val="000000100000"/>
          <w:trHeight w:val="302"/>
          <w:jc w:val="center"/>
        </w:trPr>
        <w:tc>
          <w:tcPr>
            <w:cnfStyle w:val="001000000000"/>
            <w:tcW w:w="1470" w:type="dxa"/>
            <w:vMerge/>
            <w:hideMark/>
          </w:tcPr>
          <w:p w:rsidR="00AD29CD" w:rsidRPr="00AD29CD" w:rsidRDefault="00AD29CD" w:rsidP="00D35A9F">
            <w:pPr>
              <w:rPr>
                <w:rFonts w:asciiTheme="majorBidi" w:eastAsia="Times New Roman" w:hAnsiTheme="majorBidi" w:cstheme="majorBidi"/>
                <w:color w:val="000000"/>
                <w:lang w:eastAsia="fr-FR"/>
              </w:rPr>
            </w:pPr>
          </w:p>
        </w:tc>
        <w:tc>
          <w:tcPr>
            <w:tcW w:w="1290" w:type="dxa"/>
            <w:noWrap/>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Masculin</w:t>
            </w:r>
          </w:p>
        </w:tc>
        <w:tc>
          <w:tcPr>
            <w:tcW w:w="1290" w:type="dxa"/>
            <w:noWrap/>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Féminin</w:t>
            </w:r>
          </w:p>
        </w:tc>
        <w:tc>
          <w:tcPr>
            <w:tcW w:w="1290" w:type="dxa"/>
            <w:hideMark/>
          </w:tcPr>
          <w:p w:rsidR="00AD29CD" w:rsidRPr="00AD29CD" w:rsidRDefault="00AD29CD" w:rsidP="00D35A9F">
            <w:pP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Ensemble</w:t>
            </w:r>
          </w:p>
        </w:tc>
        <w:tc>
          <w:tcPr>
            <w:tcW w:w="1244" w:type="dxa"/>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Masculin</w:t>
            </w:r>
          </w:p>
        </w:tc>
        <w:tc>
          <w:tcPr>
            <w:tcW w:w="1244" w:type="dxa"/>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Féminin</w:t>
            </w:r>
          </w:p>
        </w:tc>
        <w:tc>
          <w:tcPr>
            <w:tcW w:w="1244" w:type="dxa"/>
          </w:tcPr>
          <w:p w:rsidR="00AD29CD" w:rsidRPr="00AD29CD" w:rsidRDefault="00AD29CD" w:rsidP="00D35A9F">
            <w:pP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Ensemble</w:t>
            </w:r>
          </w:p>
        </w:tc>
      </w:tr>
      <w:tr w:rsidR="00AD29CD" w:rsidRPr="00AD29CD" w:rsidTr="00D35A9F">
        <w:trPr>
          <w:trHeight w:val="302"/>
          <w:jc w:val="center"/>
        </w:trPr>
        <w:tc>
          <w:tcPr>
            <w:cnfStyle w:val="001000000000"/>
            <w:tcW w:w="1470" w:type="dxa"/>
            <w:noWrap/>
          </w:tcPr>
          <w:p w:rsidR="00AD29CD" w:rsidRPr="00AD29CD" w:rsidRDefault="00AD29CD"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Urbain</w:t>
            </w:r>
          </w:p>
        </w:tc>
        <w:tc>
          <w:tcPr>
            <w:tcW w:w="1290" w:type="dxa"/>
            <w:noWrap/>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44.28</w:t>
            </w:r>
          </w:p>
        </w:tc>
        <w:tc>
          <w:tcPr>
            <w:tcW w:w="1290" w:type="dxa"/>
            <w:noWrap/>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9.71</w:t>
            </w:r>
          </w:p>
        </w:tc>
        <w:tc>
          <w:tcPr>
            <w:tcW w:w="1290" w:type="dxa"/>
            <w:noWrap/>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25.83</w:t>
            </w:r>
          </w:p>
        </w:tc>
        <w:tc>
          <w:tcPr>
            <w:tcW w:w="1244" w:type="dxa"/>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61.7</w:t>
            </w:r>
          </w:p>
        </w:tc>
        <w:tc>
          <w:tcPr>
            <w:tcW w:w="1244" w:type="dxa"/>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24.3</w:t>
            </w:r>
          </w:p>
        </w:tc>
        <w:tc>
          <w:tcPr>
            <w:tcW w:w="1244" w:type="dxa"/>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42.8</w:t>
            </w:r>
          </w:p>
        </w:tc>
      </w:tr>
      <w:tr w:rsidR="00AD29CD" w:rsidRPr="00AD29CD" w:rsidTr="00D35A9F">
        <w:trPr>
          <w:cnfStyle w:val="000000100000"/>
          <w:trHeight w:val="302"/>
          <w:jc w:val="center"/>
        </w:trPr>
        <w:tc>
          <w:tcPr>
            <w:cnfStyle w:val="001000000000"/>
            <w:tcW w:w="1470" w:type="dxa"/>
            <w:noWrap/>
          </w:tcPr>
          <w:p w:rsidR="00AD29CD" w:rsidRPr="00AD29CD" w:rsidRDefault="00AD29CD"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Rural</w:t>
            </w:r>
          </w:p>
        </w:tc>
        <w:tc>
          <w:tcPr>
            <w:tcW w:w="1290" w:type="dxa"/>
            <w:noWrap/>
          </w:tcPr>
          <w:p w:rsidR="00AD29CD" w:rsidRPr="00AD29CD" w:rsidRDefault="00AD29CD" w:rsidP="00D35A9F">
            <w:pPr>
              <w:jc w:val="center"/>
              <w:cnfStyle w:val="000000100000"/>
              <w:rPr>
                <w:rFonts w:asciiTheme="majorBidi" w:hAnsiTheme="majorBidi" w:cstheme="majorBidi"/>
                <w:color w:val="000000" w:themeColor="text1"/>
              </w:rPr>
            </w:pPr>
            <w:r w:rsidRPr="00AD29CD">
              <w:rPr>
                <w:rFonts w:asciiTheme="majorBidi" w:hAnsiTheme="majorBidi" w:cstheme="majorBidi"/>
                <w:color w:val="000000" w:themeColor="text1"/>
              </w:rPr>
              <w:t>15.84</w:t>
            </w:r>
          </w:p>
        </w:tc>
        <w:tc>
          <w:tcPr>
            <w:tcW w:w="1290" w:type="dxa"/>
            <w:noWrap/>
          </w:tcPr>
          <w:p w:rsidR="00AD29CD" w:rsidRPr="00AD29CD" w:rsidRDefault="00AD29CD" w:rsidP="00D35A9F">
            <w:pPr>
              <w:jc w:val="center"/>
              <w:cnfStyle w:val="000000100000"/>
              <w:rPr>
                <w:rFonts w:asciiTheme="majorBidi" w:hAnsiTheme="majorBidi" w:cstheme="majorBidi"/>
                <w:color w:val="000000" w:themeColor="text1"/>
              </w:rPr>
            </w:pPr>
            <w:r w:rsidRPr="00AD29CD">
              <w:rPr>
                <w:rFonts w:asciiTheme="majorBidi" w:hAnsiTheme="majorBidi" w:cstheme="majorBidi"/>
                <w:color w:val="000000" w:themeColor="text1"/>
              </w:rPr>
              <w:t>0.53</w:t>
            </w:r>
          </w:p>
        </w:tc>
        <w:tc>
          <w:tcPr>
            <w:tcW w:w="1290" w:type="dxa"/>
            <w:noWrap/>
          </w:tcPr>
          <w:p w:rsidR="00AD29CD" w:rsidRPr="00AD29CD" w:rsidRDefault="00AD29CD" w:rsidP="00D35A9F">
            <w:pPr>
              <w:jc w:val="center"/>
              <w:cnfStyle w:val="000000100000"/>
              <w:rPr>
                <w:rFonts w:asciiTheme="majorBidi" w:hAnsiTheme="majorBidi" w:cstheme="majorBidi"/>
                <w:color w:val="000000" w:themeColor="text1"/>
              </w:rPr>
            </w:pPr>
            <w:r w:rsidRPr="00AD29CD">
              <w:rPr>
                <w:rFonts w:asciiTheme="majorBidi" w:hAnsiTheme="majorBidi" w:cstheme="majorBidi"/>
                <w:color w:val="000000" w:themeColor="text1"/>
              </w:rPr>
              <w:t>8.04</w:t>
            </w:r>
          </w:p>
        </w:tc>
        <w:tc>
          <w:tcPr>
            <w:tcW w:w="1244" w:type="dxa"/>
          </w:tcPr>
          <w:p w:rsidR="00AD29CD" w:rsidRPr="00AD29CD" w:rsidRDefault="00AD29CD" w:rsidP="00D35A9F">
            <w:pPr>
              <w:jc w:val="center"/>
              <w:cnfStyle w:val="000000100000"/>
              <w:rPr>
                <w:rFonts w:asciiTheme="majorBidi" w:hAnsiTheme="majorBidi" w:cstheme="majorBidi"/>
                <w:color w:val="000000" w:themeColor="text1"/>
              </w:rPr>
            </w:pPr>
            <w:r w:rsidRPr="00AD29CD">
              <w:rPr>
                <w:rFonts w:asciiTheme="majorBidi" w:hAnsiTheme="majorBidi" w:cstheme="majorBidi"/>
                <w:color w:val="000000" w:themeColor="text1"/>
              </w:rPr>
              <w:t>25.3</w:t>
            </w:r>
          </w:p>
        </w:tc>
        <w:tc>
          <w:tcPr>
            <w:tcW w:w="1244" w:type="dxa"/>
          </w:tcPr>
          <w:p w:rsidR="00AD29CD" w:rsidRPr="00AD29CD" w:rsidRDefault="00AD29CD" w:rsidP="00D35A9F">
            <w:pPr>
              <w:jc w:val="center"/>
              <w:cnfStyle w:val="000000100000"/>
              <w:rPr>
                <w:rFonts w:asciiTheme="majorBidi" w:hAnsiTheme="majorBidi" w:cstheme="majorBidi"/>
                <w:color w:val="000000" w:themeColor="text1"/>
              </w:rPr>
            </w:pPr>
            <w:r w:rsidRPr="00AD29CD">
              <w:rPr>
                <w:rFonts w:asciiTheme="majorBidi" w:hAnsiTheme="majorBidi" w:cstheme="majorBidi"/>
                <w:color w:val="000000" w:themeColor="text1"/>
              </w:rPr>
              <w:t>2.2</w:t>
            </w:r>
          </w:p>
        </w:tc>
        <w:tc>
          <w:tcPr>
            <w:tcW w:w="1244" w:type="dxa"/>
          </w:tcPr>
          <w:p w:rsidR="00AD29CD" w:rsidRPr="00AD29CD" w:rsidRDefault="00AD29CD" w:rsidP="00D35A9F">
            <w:pPr>
              <w:jc w:val="center"/>
              <w:cnfStyle w:val="000000100000"/>
              <w:rPr>
                <w:rFonts w:asciiTheme="majorBidi" w:hAnsiTheme="majorBidi" w:cstheme="majorBidi"/>
                <w:color w:val="000000" w:themeColor="text1"/>
              </w:rPr>
            </w:pPr>
            <w:r w:rsidRPr="00AD29CD">
              <w:rPr>
                <w:rFonts w:asciiTheme="majorBidi" w:hAnsiTheme="majorBidi" w:cstheme="majorBidi"/>
                <w:color w:val="000000" w:themeColor="text1"/>
              </w:rPr>
              <w:t>13.6</w:t>
            </w:r>
          </w:p>
        </w:tc>
      </w:tr>
      <w:tr w:rsidR="00AD29CD" w:rsidRPr="00AD29CD" w:rsidTr="00D35A9F">
        <w:trPr>
          <w:trHeight w:val="302"/>
          <w:jc w:val="center"/>
        </w:trPr>
        <w:tc>
          <w:tcPr>
            <w:cnfStyle w:val="001000000000"/>
            <w:tcW w:w="1470" w:type="dxa"/>
            <w:noWrap/>
          </w:tcPr>
          <w:p w:rsidR="00AD29CD" w:rsidRPr="00AD29CD" w:rsidRDefault="00AD29CD"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Total</w:t>
            </w:r>
          </w:p>
        </w:tc>
        <w:tc>
          <w:tcPr>
            <w:tcW w:w="1290" w:type="dxa"/>
            <w:noWrap/>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30.37</w:t>
            </w:r>
          </w:p>
        </w:tc>
        <w:tc>
          <w:tcPr>
            <w:tcW w:w="1290" w:type="dxa"/>
            <w:noWrap/>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5.45</w:t>
            </w:r>
          </w:p>
        </w:tc>
        <w:tc>
          <w:tcPr>
            <w:tcW w:w="1290" w:type="dxa"/>
            <w:noWrap/>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17.36</w:t>
            </w:r>
          </w:p>
        </w:tc>
        <w:tc>
          <w:tcPr>
            <w:tcW w:w="1244" w:type="dxa"/>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46.8</w:t>
            </w:r>
          </w:p>
        </w:tc>
        <w:tc>
          <w:tcPr>
            <w:tcW w:w="1244" w:type="dxa"/>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15.3</w:t>
            </w:r>
          </w:p>
        </w:tc>
        <w:tc>
          <w:tcPr>
            <w:tcW w:w="1244" w:type="dxa"/>
          </w:tcPr>
          <w:p w:rsidR="00AD29CD" w:rsidRPr="00AD29CD" w:rsidRDefault="00AD29CD" w:rsidP="00D35A9F">
            <w:pPr>
              <w:jc w:val="center"/>
              <w:cnfStyle w:val="000000000000"/>
              <w:rPr>
                <w:rFonts w:asciiTheme="majorBidi" w:hAnsiTheme="majorBidi" w:cstheme="majorBidi"/>
                <w:color w:val="000000" w:themeColor="text1"/>
              </w:rPr>
            </w:pPr>
            <w:r w:rsidRPr="00AD29CD">
              <w:rPr>
                <w:rFonts w:asciiTheme="majorBidi" w:hAnsiTheme="majorBidi" w:cstheme="majorBidi"/>
                <w:color w:val="000000" w:themeColor="text1"/>
              </w:rPr>
              <w:t>30.8</w:t>
            </w:r>
          </w:p>
        </w:tc>
      </w:tr>
    </w:tbl>
    <w:p w:rsidR="00AD29CD" w:rsidRPr="00AD29CD" w:rsidRDefault="00AD29CD" w:rsidP="00AD29CD">
      <w:pPr>
        <w:pStyle w:val="Paragraphedeliste"/>
        <w:autoSpaceDE w:val="0"/>
        <w:autoSpaceDN w:val="0"/>
        <w:adjustRightInd w:val="0"/>
        <w:spacing w:after="100" w:afterAutospacing="1" w:line="240" w:lineRule="auto"/>
        <w:jc w:val="center"/>
        <w:rPr>
          <w:rFonts w:asciiTheme="majorBidi" w:hAnsiTheme="majorBidi" w:cstheme="majorBidi"/>
          <w:color w:val="000000"/>
          <w:sz w:val="24"/>
          <w:szCs w:val="24"/>
          <w:shd w:val="clear" w:color="auto" w:fill="FFFFFF"/>
        </w:rPr>
      </w:pPr>
      <w:r w:rsidRPr="00AD29CD">
        <w:rPr>
          <w:rFonts w:asciiTheme="majorBidi" w:hAnsiTheme="majorBidi" w:cstheme="majorBidi"/>
          <w:color w:val="000000"/>
          <w:sz w:val="24"/>
          <w:szCs w:val="24"/>
          <w:shd w:val="clear" w:color="auto" w:fill="FFFFFF"/>
        </w:rPr>
        <w:t>Source : Traitements des auteurs à partir de l’ENPA 2006, Données provisoires du RGPH 2014, HCP</w:t>
      </w:r>
    </w:p>
    <w:p w:rsidR="00AD29CD" w:rsidRPr="00AD29CD" w:rsidRDefault="00AD29CD" w:rsidP="00076044">
      <w:pPr>
        <w:spacing w:before="100" w:beforeAutospacing="1" w:after="100" w:afterAutospacing="1" w:line="360" w:lineRule="auto"/>
        <w:jc w:val="both"/>
        <w:rPr>
          <w:rFonts w:asciiTheme="majorBidi" w:hAnsiTheme="majorBidi" w:cstheme="majorBidi"/>
          <w:sz w:val="24"/>
          <w:szCs w:val="24"/>
        </w:rPr>
      </w:pPr>
      <w:r w:rsidRPr="00AD29CD">
        <w:rPr>
          <w:rFonts w:asciiTheme="majorBidi" w:hAnsiTheme="majorBidi" w:cstheme="majorBidi"/>
          <w:sz w:val="24"/>
          <w:szCs w:val="24"/>
        </w:rPr>
        <w:t>La répartition par sexe et milieu de résidence soumet une large différence en termes d’alphabétisation: seulement 5.4% des femmes âgées qui savent lire et écrire dont 9.7% habitent le milieu urbain et à peine 0.5% chez les rurales, contre respectivement 15.3%, 24.3% et 2.2% en 2014.  En revanche, il s’avère que les hommes âgés ont plus de chance à avoir été scolarisés (30.4%) principalement dans les villes avec un taux d’alphabétisation qui atteint 44.3% contre 15.8% chez les ruraux. Ces pourcentages s’élèvent respectivement à 46.8%, 61.7% et 25.3% en 2014.</w:t>
      </w:r>
    </w:p>
    <w:p w:rsidR="00AD29CD" w:rsidRPr="00AD29CD" w:rsidRDefault="00AD29CD" w:rsidP="00076044">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AD29CD">
        <w:rPr>
          <w:rFonts w:asciiTheme="majorBidi" w:hAnsiTheme="majorBidi" w:cstheme="majorBidi"/>
          <w:sz w:val="24"/>
          <w:szCs w:val="24"/>
        </w:rPr>
        <w:t>Ces proportions élevées d'inaptitude à lire et à écrire s'expliquent en partie par le peu d'intérêt accordé jusqu'à récemment aux programmes d'alphabétisation destinés aux personnes âgées. D’autres raisons d’ordre historique peuvent s’y ajouter. Il s’agit de l’époque de protectorat au cours de laquelle ces personnes ont été nées et où la scolarisation était très limitée car les autorités coloniales étaient plus attachées à la scolarisation des Européens.</w:t>
      </w:r>
    </w:p>
    <w:p w:rsidR="00682ADA" w:rsidRDefault="00682ADA">
      <w:pPr>
        <w:rPr>
          <w:rStyle w:val="Emphaseple"/>
          <w:rFonts w:asciiTheme="majorBidi" w:eastAsiaTheme="minorEastAsia" w:hAnsiTheme="majorBidi" w:cstheme="majorBidi"/>
          <w:b/>
          <w:bCs/>
          <w:color w:val="auto"/>
          <w:spacing w:val="15"/>
          <w:sz w:val="24"/>
          <w:szCs w:val="24"/>
        </w:rPr>
      </w:pPr>
      <w:bookmarkStart w:id="5" w:name="_Toc439810057"/>
      <w:r>
        <w:rPr>
          <w:rStyle w:val="Emphaseple"/>
          <w:rFonts w:asciiTheme="majorBidi" w:hAnsiTheme="majorBidi" w:cstheme="majorBidi"/>
          <w:b/>
          <w:bCs/>
          <w:color w:val="auto"/>
          <w:sz w:val="24"/>
          <w:szCs w:val="24"/>
        </w:rPr>
        <w:br w:type="page"/>
      </w:r>
    </w:p>
    <w:p w:rsidR="00AD29CD" w:rsidRPr="00076044" w:rsidRDefault="00076044" w:rsidP="00076044">
      <w:pPr>
        <w:pStyle w:val="Sous-titre"/>
        <w:jc w:val="center"/>
        <w:rPr>
          <w:rStyle w:val="Emphaseple"/>
          <w:rFonts w:asciiTheme="majorBidi" w:hAnsiTheme="majorBidi" w:cstheme="majorBidi"/>
          <w:b/>
          <w:bCs/>
          <w:color w:val="auto"/>
          <w:sz w:val="24"/>
          <w:szCs w:val="24"/>
        </w:rPr>
      </w:pPr>
      <w:r w:rsidRPr="00076044">
        <w:rPr>
          <w:rStyle w:val="Emphaseple"/>
          <w:rFonts w:asciiTheme="majorBidi" w:hAnsiTheme="majorBidi" w:cstheme="majorBidi"/>
          <w:b/>
          <w:bCs/>
          <w:color w:val="auto"/>
          <w:sz w:val="24"/>
          <w:szCs w:val="24"/>
        </w:rPr>
        <w:lastRenderedPageBreak/>
        <w:t>Tableau 3</w:t>
      </w:r>
      <w:r w:rsidR="00AD29CD" w:rsidRPr="00076044">
        <w:rPr>
          <w:rStyle w:val="Emphaseple"/>
          <w:rFonts w:asciiTheme="majorBidi" w:hAnsiTheme="majorBidi" w:cstheme="majorBidi"/>
          <w:b/>
          <w:bCs/>
          <w:color w:val="auto"/>
          <w:sz w:val="24"/>
          <w:szCs w:val="24"/>
        </w:rPr>
        <w:t> : Niveau scolaire des personnes âgées selon le milieu de résidence</w:t>
      </w:r>
      <w:bookmarkEnd w:id="5"/>
    </w:p>
    <w:tbl>
      <w:tblPr>
        <w:tblStyle w:val="ListTable6Colorful-Accent31"/>
        <w:tblW w:w="9091" w:type="dxa"/>
        <w:jc w:val="center"/>
        <w:tblLayout w:type="fixed"/>
        <w:tblLook w:val="04A0"/>
      </w:tblPr>
      <w:tblGrid>
        <w:gridCol w:w="2368"/>
        <w:gridCol w:w="1120"/>
        <w:gridCol w:w="1121"/>
        <w:gridCol w:w="1120"/>
        <w:gridCol w:w="1121"/>
        <w:gridCol w:w="1120"/>
        <w:gridCol w:w="1121"/>
      </w:tblGrid>
      <w:tr w:rsidR="00AD29CD" w:rsidRPr="00AD29CD" w:rsidTr="00D35A9F">
        <w:trPr>
          <w:cnfStyle w:val="100000000000"/>
          <w:trHeight w:val="229"/>
          <w:jc w:val="center"/>
        </w:trPr>
        <w:tc>
          <w:tcPr>
            <w:cnfStyle w:val="001000000000"/>
            <w:tcW w:w="2368" w:type="dxa"/>
            <w:vMerge w:val="restart"/>
            <w:noWrap/>
            <w:hideMark/>
          </w:tcPr>
          <w:p w:rsidR="00AD29CD" w:rsidRPr="00AD29CD" w:rsidRDefault="00AD29CD" w:rsidP="00D35A9F">
            <w:pPr>
              <w:jc w:val="cente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Niveau scolaire/Milieu</w:t>
            </w:r>
          </w:p>
        </w:tc>
        <w:tc>
          <w:tcPr>
            <w:tcW w:w="3361" w:type="dxa"/>
            <w:gridSpan w:val="3"/>
            <w:noWrap/>
            <w:hideMark/>
          </w:tcPr>
          <w:p w:rsidR="00AD29CD" w:rsidRPr="00AD29CD" w:rsidRDefault="00AD29CD" w:rsidP="00D35A9F">
            <w:pPr>
              <w:jc w:val="center"/>
              <w:cnfStyle w:val="100000000000"/>
              <w:rPr>
                <w:rFonts w:asciiTheme="majorBidi" w:eastAsia="Times New Roman" w:hAnsiTheme="majorBidi" w:cstheme="majorBidi"/>
                <w:b w:val="0"/>
                <w:bCs w:val="0"/>
                <w:color w:val="000000"/>
                <w:lang w:eastAsia="fr-FR"/>
              </w:rPr>
            </w:pPr>
            <w:r w:rsidRPr="00AD29CD">
              <w:rPr>
                <w:rFonts w:asciiTheme="majorBidi" w:eastAsia="Times New Roman" w:hAnsiTheme="majorBidi" w:cstheme="majorBidi"/>
                <w:color w:val="000000"/>
                <w:lang w:eastAsia="fr-FR"/>
              </w:rPr>
              <w:t>2006</w:t>
            </w:r>
          </w:p>
        </w:tc>
        <w:tc>
          <w:tcPr>
            <w:tcW w:w="3362" w:type="dxa"/>
            <w:gridSpan w:val="3"/>
          </w:tcPr>
          <w:p w:rsidR="00AD29CD" w:rsidRPr="00AD29CD" w:rsidRDefault="00AD29CD" w:rsidP="00D35A9F">
            <w:pPr>
              <w:jc w:val="center"/>
              <w:cnfStyle w:val="1000000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2014</w:t>
            </w:r>
          </w:p>
        </w:tc>
      </w:tr>
      <w:tr w:rsidR="00AD29CD" w:rsidRPr="00AD29CD" w:rsidTr="00D35A9F">
        <w:trPr>
          <w:cnfStyle w:val="000000100000"/>
          <w:trHeight w:val="229"/>
          <w:jc w:val="center"/>
        </w:trPr>
        <w:tc>
          <w:tcPr>
            <w:cnfStyle w:val="001000000000"/>
            <w:tcW w:w="2368" w:type="dxa"/>
            <w:vMerge/>
            <w:hideMark/>
          </w:tcPr>
          <w:p w:rsidR="00AD29CD" w:rsidRPr="00AD29CD" w:rsidRDefault="00AD29CD" w:rsidP="00D35A9F">
            <w:pPr>
              <w:rPr>
                <w:rFonts w:asciiTheme="majorBidi" w:eastAsia="Times New Roman" w:hAnsiTheme="majorBidi" w:cstheme="majorBidi"/>
                <w:color w:val="000000"/>
                <w:lang w:eastAsia="fr-FR"/>
              </w:rPr>
            </w:pPr>
          </w:p>
        </w:tc>
        <w:tc>
          <w:tcPr>
            <w:tcW w:w="1120" w:type="dxa"/>
            <w:noWrap/>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Urbain</w:t>
            </w:r>
          </w:p>
        </w:tc>
        <w:tc>
          <w:tcPr>
            <w:tcW w:w="1121" w:type="dxa"/>
            <w:noWrap/>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Rural</w:t>
            </w:r>
          </w:p>
        </w:tc>
        <w:tc>
          <w:tcPr>
            <w:tcW w:w="1120" w:type="dxa"/>
            <w:hideMark/>
          </w:tcPr>
          <w:p w:rsidR="00AD29CD" w:rsidRPr="00AD29CD" w:rsidRDefault="00AD29CD" w:rsidP="00D35A9F">
            <w:pP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Ensemble</w:t>
            </w:r>
          </w:p>
        </w:tc>
        <w:tc>
          <w:tcPr>
            <w:tcW w:w="1121" w:type="dxa"/>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Urbain</w:t>
            </w:r>
          </w:p>
        </w:tc>
        <w:tc>
          <w:tcPr>
            <w:tcW w:w="1120" w:type="dxa"/>
          </w:tcPr>
          <w:p w:rsidR="00AD29CD" w:rsidRPr="00AD29CD" w:rsidRDefault="00AD29CD" w:rsidP="00D35A9F">
            <w:pPr>
              <w:jc w:val="cente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Rural</w:t>
            </w:r>
          </w:p>
        </w:tc>
        <w:tc>
          <w:tcPr>
            <w:tcW w:w="1121" w:type="dxa"/>
          </w:tcPr>
          <w:p w:rsidR="00AD29CD" w:rsidRPr="00AD29CD" w:rsidRDefault="00AD29CD" w:rsidP="00D35A9F">
            <w:pPr>
              <w:cnfStyle w:val="000000100000"/>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Ensemble</w:t>
            </w:r>
          </w:p>
        </w:tc>
      </w:tr>
      <w:tr w:rsidR="00AD29CD" w:rsidRPr="00AD29CD" w:rsidTr="00D35A9F">
        <w:trPr>
          <w:trHeight w:val="229"/>
          <w:jc w:val="center"/>
        </w:trPr>
        <w:tc>
          <w:tcPr>
            <w:cnfStyle w:val="001000000000"/>
            <w:tcW w:w="2368" w:type="dxa"/>
            <w:noWrap/>
          </w:tcPr>
          <w:p w:rsidR="00AD29CD" w:rsidRPr="00AD29CD" w:rsidRDefault="00AD29CD"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Néant</w:t>
            </w:r>
          </w:p>
        </w:tc>
        <w:tc>
          <w:tcPr>
            <w:tcW w:w="1120" w:type="dxa"/>
            <w:noWrap/>
            <w:vAlign w:val="bottom"/>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81.74</w:t>
            </w:r>
          </w:p>
        </w:tc>
        <w:tc>
          <w:tcPr>
            <w:tcW w:w="1121" w:type="dxa"/>
            <w:noWrap/>
            <w:vAlign w:val="bottom"/>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97.65</w:t>
            </w:r>
          </w:p>
        </w:tc>
        <w:tc>
          <w:tcPr>
            <w:tcW w:w="1120" w:type="dxa"/>
            <w:noWrap/>
            <w:vAlign w:val="bottom"/>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89.32</w:t>
            </w:r>
          </w:p>
        </w:tc>
        <w:tc>
          <w:tcPr>
            <w:tcW w:w="1121" w:type="dxa"/>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65.84</w:t>
            </w:r>
          </w:p>
        </w:tc>
        <w:tc>
          <w:tcPr>
            <w:tcW w:w="1120" w:type="dxa"/>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92.42</w:t>
            </w:r>
          </w:p>
        </w:tc>
        <w:tc>
          <w:tcPr>
            <w:tcW w:w="1121" w:type="dxa"/>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76.70</w:t>
            </w:r>
          </w:p>
        </w:tc>
      </w:tr>
      <w:tr w:rsidR="00AD29CD" w:rsidRPr="00AD29CD" w:rsidTr="00D35A9F">
        <w:trPr>
          <w:cnfStyle w:val="000000100000"/>
          <w:trHeight w:val="229"/>
          <w:jc w:val="center"/>
        </w:trPr>
        <w:tc>
          <w:tcPr>
            <w:cnfStyle w:val="001000000000"/>
            <w:tcW w:w="2368" w:type="dxa"/>
            <w:noWrap/>
          </w:tcPr>
          <w:p w:rsidR="00AD29CD" w:rsidRPr="00AD29CD" w:rsidRDefault="00AD29CD"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Fondamental</w:t>
            </w:r>
          </w:p>
        </w:tc>
        <w:tc>
          <w:tcPr>
            <w:tcW w:w="1120" w:type="dxa"/>
            <w:noWrap/>
            <w:vAlign w:val="bottom"/>
          </w:tcPr>
          <w:p w:rsidR="00AD29CD" w:rsidRPr="00AD29CD" w:rsidRDefault="00AD29CD" w:rsidP="00D35A9F">
            <w:pPr>
              <w:jc w:val="center"/>
              <w:cnfStyle w:val="000000100000"/>
              <w:rPr>
                <w:rFonts w:asciiTheme="majorBidi" w:hAnsiTheme="majorBidi" w:cstheme="majorBidi"/>
                <w:color w:val="000000"/>
              </w:rPr>
            </w:pPr>
            <w:r w:rsidRPr="00AD29CD">
              <w:rPr>
                <w:rFonts w:asciiTheme="majorBidi" w:hAnsiTheme="majorBidi" w:cstheme="majorBidi"/>
                <w:color w:val="000000"/>
              </w:rPr>
              <w:t>11.51</w:t>
            </w:r>
          </w:p>
        </w:tc>
        <w:tc>
          <w:tcPr>
            <w:tcW w:w="1121" w:type="dxa"/>
            <w:noWrap/>
            <w:vAlign w:val="bottom"/>
          </w:tcPr>
          <w:p w:rsidR="00AD29CD" w:rsidRPr="00AD29CD" w:rsidRDefault="00AD29CD" w:rsidP="00D35A9F">
            <w:pPr>
              <w:jc w:val="center"/>
              <w:cnfStyle w:val="000000100000"/>
              <w:rPr>
                <w:rFonts w:asciiTheme="majorBidi" w:hAnsiTheme="majorBidi" w:cstheme="majorBidi"/>
                <w:color w:val="000000"/>
              </w:rPr>
            </w:pPr>
            <w:r w:rsidRPr="00AD29CD">
              <w:rPr>
                <w:rFonts w:asciiTheme="majorBidi" w:hAnsiTheme="majorBidi" w:cstheme="majorBidi"/>
                <w:color w:val="000000"/>
              </w:rPr>
              <w:t>2.18</w:t>
            </w:r>
          </w:p>
        </w:tc>
        <w:tc>
          <w:tcPr>
            <w:tcW w:w="1120" w:type="dxa"/>
            <w:noWrap/>
            <w:vAlign w:val="bottom"/>
          </w:tcPr>
          <w:p w:rsidR="00AD29CD" w:rsidRPr="00AD29CD" w:rsidRDefault="00AD29CD" w:rsidP="00D35A9F">
            <w:pPr>
              <w:jc w:val="center"/>
              <w:cnfStyle w:val="000000100000"/>
              <w:rPr>
                <w:rFonts w:asciiTheme="majorBidi" w:hAnsiTheme="majorBidi" w:cstheme="majorBidi"/>
                <w:color w:val="000000"/>
              </w:rPr>
            </w:pPr>
            <w:r w:rsidRPr="00AD29CD">
              <w:rPr>
                <w:rFonts w:asciiTheme="majorBidi" w:hAnsiTheme="majorBidi" w:cstheme="majorBidi"/>
                <w:color w:val="000000"/>
              </w:rPr>
              <w:t>7.07</w:t>
            </w:r>
          </w:p>
        </w:tc>
        <w:tc>
          <w:tcPr>
            <w:tcW w:w="1121" w:type="dxa"/>
          </w:tcPr>
          <w:p w:rsidR="00AD29CD" w:rsidRPr="00AD29CD" w:rsidRDefault="00AD29CD" w:rsidP="00D35A9F">
            <w:pPr>
              <w:jc w:val="center"/>
              <w:cnfStyle w:val="000000100000"/>
              <w:rPr>
                <w:rFonts w:asciiTheme="majorBidi" w:hAnsiTheme="majorBidi" w:cstheme="majorBidi"/>
                <w:color w:val="000000"/>
              </w:rPr>
            </w:pPr>
            <w:r w:rsidRPr="00AD29CD">
              <w:rPr>
                <w:rFonts w:asciiTheme="majorBidi" w:hAnsiTheme="majorBidi" w:cstheme="majorBidi"/>
                <w:color w:val="000000"/>
              </w:rPr>
              <w:t>22.90</w:t>
            </w:r>
          </w:p>
        </w:tc>
        <w:tc>
          <w:tcPr>
            <w:tcW w:w="1120" w:type="dxa"/>
          </w:tcPr>
          <w:p w:rsidR="00AD29CD" w:rsidRPr="00AD29CD" w:rsidRDefault="00AD29CD" w:rsidP="00D35A9F">
            <w:pPr>
              <w:jc w:val="center"/>
              <w:cnfStyle w:val="000000100000"/>
              <w:rPr>
                <w:rFonts w:asciiTheme="majorBidi" w:hAnsiTheme="majorBidi" w:cstheme="majorBidi"/>
                <w:color w:val="000000"/>
              </w:rPr>
            </w:pPr>
            <w:r w:rsidRPr="00AD29CD">
              <w:rPr>
                <w:rFonts w:asciiTheme="majorBidi" w:hAnsiTheme="majorBidi" w:cstheme="majorBidi"/>
                <w:color w:val="000000"/>
              </w:rPr>
              <w:t>6.90</w:t>
            </w:r>
          </w:p>
        </w:tc>
        <w:tc>
          <w:tcPr>
            <w:tcW w:w="1121" w:type="dxa"/>
          </w:tcPr>
          <w:p w:rsidR="00AD29CD" w:rsidRPr="00AD29CD" w:rsidRDefault="00AD29CD" w:rsidP="00D35A9F">
            <w:pPr>
              <w:jc w:val="center"/>
              <w:cnfStyle w:val="000000100000"/>
              <w:rPr>
                <w:rFonts w:asciiTheme="majorBidi" w:hAnsiTheme="majorBidi" w:cstheme="majorBidi"/>
                <w:color w:val="000000"/>
              </w:rPr>
            </w:pPr>
            <w:r w:rsidRPr="00AD29CD">
              <w:rPr>
                <w:rFonts w:asciiTheme="majorBidi" w:hAnsiTheme="majorBidi" w:cstheme="majorBidi"/>
                <w:color w:val="000000"/>
              </w:rPr>
              <w:t>16.37</w:t>
            </w:r>
          </w:p>
        </w:tc>
      </w:tr>
      <w:tr w:rsidR="00AD29CD" w:rsidRPr="00AD29CD" w:rsidTr="00D35A9F">
        <w:trPr>
          <w:trHeight w:val="229"/>
          <w:jc w:val="center"/>
        </w:trPr>
        <w:tc>
          <w:tcPr>
            <w:cnfStyle w:val="001000000000"/>
            <w:tcW w:w="2368" w:type="dxa"/>
            <w:noWrap/>
          </w:tcPr>
          <w:p w:rsidR="00AD29CD" w:rsidRPr="00AD29CD" w:rsidRDefault="00AD29CD" w:rsidP="00D35A9F">
            <w:pPr>
              <w:rPr>
                <w:rFonts w:asciiTheme="majorBidi" w:eastAsia="Times New Roman" w:hAnsiTheme="majorBidi" w:cstheme="majorBidi"/>
                <w:color w:val="000000"/>
                <w:lang w:eastAsia="fr-FR"/>
              </w:rPr>
            </w:pPr>
            <w:r w:rsidRPr="00AD29CD">
              <w:rPr>
                <w:rFonts w:asciiTheme="majorBidi" w:eastAsia="Times New Roman" w:hAnsiTheme="majorBidi" w:cstheme="majorBidi"/>
                <w:color w:val="000000"/>
                <w:lang w:eastAsia="fr-FR"/>
              </w:rPr>
              <w:t>Secondaire &amp; supérieur</w:t>
            </w:r>
          </w:p>
        </w:tc>
        <w:tc>
          <w:tcPr>
            <w:tcW w:w="1120" w:type="dxa"/>
            <w:noWrap/>
            <w:vAlign w:val="bottom"/>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6.74</w:t>
            </w:r>
          </w:p>
        </w:tc>
        <w:tc>
          <w:tcPr>
            <w:tcW w:w="1121" w:type="dxa"/>
            <w:noWrap/>
            <w:vAlign w:val="bottom"/>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0.16</w:t>
            </w:r>
          </w:p>
        </w:tc>
        <w:tc>
          <w:tcPr>
            <w:tcW w:w="1120" w:type="dxa"/>
            <w:noWrap/>
            <w:vAlign w:val="bottom"/>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3.61</w:t>
            </w:r>
          </w:p>
        </w:tc>
        <w:tc>
          <w:tcPr>
            <w:tcW w:w="1121" w:type="dxa"/>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11.26</w:t>
            </w:r>
          </w:p>
        </w:tc>
        <w:tc>
          <w:tcPr>
            <w:tcW w:w="1120" w:type="dxa"/>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0.67</w:t>
            </w:r>
          </w:p>
        </w:tc>
        <w:tc>
          <w:tcPr>
            <w:tcW w:w="1121" w:type="dxa"/>
          </w:tcPr>
          <w:p w:rsidR="00AD29CD" w:rsidRPr="00AD29CD" w:rsidRDefault="00AD29CD" w:rsidP="00D35A9F">
            <w:pPr>
              <w:jc w:val="center"/>
              <w:cnfStyle w:val="000000000000"/>
              <w:rPr>
                <w:rFonts w:asciiTheme="majorBidi" w:hAnsiTheme="majorBidi" w:cstheme="majorBidi"/>
                <w:color w:val="000000"/>
              </w:rPr>
            </w:pPr>
            <w:r w:rsidRPr="00AD29CD">
              <w:rPr>
                <w:rFonts w:asciiTheme="majorBidi" w:hAnsiTheme="majorBidi" w:cstheme="majorBidi"/>
                <w:color w:val="000000"/>
              </w:rPr>
              <w:t>6.93</w:t>
            </w:r>
          </w:p>
        </w:tc>
      </w:tr>
    </w:tbl>
    <w:p w:rsidR="00AD29CD" w:rsidRPr="00AD29CD" w:rsidRDefault="00AD29CD" w:rsidP="00AD29CD">
      <w:pPr>
        <w:pStyle w:val="Paragraphedeliste"/>
        <w:autoSpaceDE w:val="0"/>
        <w:autoSpaceDN w:val="0"/>
        <w:adjustRightInd w:val="0"/>
        <w:spacing w:after="100" w:afterAutospacing="1" w:line="240" w:lineRule="auto"/>
        <w:jc w:val="center"/>
        <w:rPr>
          <w:rFonts w:asciiTheme="majorBidi" w:hAnsiTheme="majorBidi" w:cstheme="majorBidi"/>
          <w:color w:val="000000"/>
          <w:sz w:val="24"/>
          <w:szCs w:val="24"/>
          <w:shd w:val="clear" w:color="auto" w:fill="FFFFFF"/>
        </w:rPr>
      </w:pPr>
      <w:r w:rsidRPr="00AD29CD">
        <w:rPr>
          <w:rFonts w:asciiTheme="majorBidi" w:hAnsiTheme="majorBidi" w:cstheme="majorBidi"/>
          <w:color w:val="000000"/>
          <w:sz w:val="24"/>
          <w:szCs w:val="24"/>
          <w:shd w:val="clear" w:color="auto" w:fill="FFFFFF"/>
        </w:rPr>
        <w:t>Source : Traitements des auteurs à partir de l’ENPA 2006, Données provisoires du RGPH 2014, HCP</w:t>
      </w:r>
    </w:p>
    <w:p w:rsidR="00AD29CD" w:rsidRPr="00AD29CD" w:rsidRDefault="00AD29CD" w:rsidP="00076044">
      <w:pPr>
        <w:autoSpaceDE w:val="0"/>
        <w:autoSpaceDN w:val="0"/>
        <w:adjustRightInd w:val="0"/>
        <w:spacing w:before="100" w:beforeAutospacing="1" w:after="100" w:afterAutospacing="1" w:line="360" w:lineRule="auto"/>
        <w:jc w:val="both"/>
        <w:rPr>
          <w:rFonts w:asciiTheme="majorBidi" w:hAnsiTheme="majorBidi" w:cstheme="majorBidi"/>
        </w:rPr>
      </w:pPr>
      <w:r w:rsidRPr="00AD29CD">
        <w:rPr>
          <w:rFonts w:asciiTheme="majorBidi" w:hAnsiTheme="majorBidi" w:cstheme="majorBidi"/>
          <w:sz w:val="24"/>
          <w:szCs w:val="24"/>
        </w:rPr>
        <w:t xml:space="preserve">Avec de tels taux d'alphabétisme, il est normal que le niveau d'éducation des personnes âgées de 60 ans et plus soit lui aussi faible. </w:t>
      </w:r>
    </w:p>
    <w:p w:rsidR="00AD29CD" w:rsidRPr="00AD29CD" w:rsidRDefault="00AD29CD" w:rsidP="00AD29CD">
      <w:pPr>
        <w:spacing w:before="100" w:beforeAutospacing="1" w:after="100" w:afterAutospacing="1" w:line="360" w:lineRule="auto"/>
        <w:jc w:val="both"/>
        <w:rPr>
          <w:rFonts w:asciiTheme="majorBidi" w:hAnsiTheme="majorBidi" w:cstheme="majorBidi"/>
          <w:sz w:val="24"/>
          <w:szCs w:val="24"/>
        </w:rPr>
      </w:pPr>
      <w:r w:rsidRPr="00AD29CD">
        <w:rPr>
          <w:rFonts w:asciiTheme="majorBidi" w:hAnsiTheme="majorBidi" w:cstheme="majorBidi"/>
          <w:sz w:val="24"/>
          <w:szCs w:val="24"/>
        </w:rPr>
        <w:t xml:space="preserve">En effet, en 2014, 16.4% des personnes âgées ont un niveau fondamental et à peine 6.9% ont pu avoir un niveau secondaire ou supérieur.Ces pourcentages s’élevaient respectivement à 7.1% et 3.6% en 2006. </w:t>
      </w:r>
    </w:p>
    <w:p w:rsidR="00AD29CD" w:rsidRDefault="00AD29CD" w:rsidP="00AD29CD">
      <w:pPr>
        <w:spacing w:before="100" w:beforeAutospacing="1" w:after="100" w:afterAutospacing="1" w:line="360" w:lineRule="auto"/>
        <w:jc w:val="both"/>
        <w:rPr>
          <w:rFonts w:asciiTheme="majorBidi" w:hAnsiTheme="majorBidi" w:cstheme="majorBidi"/>
          <w:sz w:val="24"/>
          <w:szCs w:val="24"/>
        </w:rPr>
      </w:pPr>
      <w:r w:rsidRPr="00AD29CD">
        <w:rPr>
          <w:rFonts w:asciiTheme="majorBidi" w:hAnsiTheme="majorBidi" w:cstheme="majorBidi"/>
          <w:sz w:val="24"/>
          <w:szCs w:val="24"/>
        </w:rPr>
        <w:t>La répartition selon le milieu de résidence, montre clairement que l'accès à la scolarisation étant plus élevé parmi les citadins que parmi les ruraux. En effet, si seulement 7.6% des personnes âgées vivant en milieu rural ont un niveau fondamental ou plus en 2014, un tiers (34.2%) des personnes âgées citadines ont transité par l’école. Ces pourcentages se situaient à un niveau très faible en 2006, soit respectivement 2.34% et 18.35%.</w:t>
      </w:r>
    </w:p>
    <w:p w:rsidR="00CF6D0C" w:rsidRPr="00CF6D0C" w:rsidRDefault="00CF6D0C" w:rsidP="00CF6D0C">
      <w:pPr>
        <w:pStyle w:val="Titre3"/>
        <w:numPr>
          <w:ilvl w:val="0"/>
          <w:numId w:val="5"/>
        </w:numPr>
        <w:spacing w:after="100" w:afterAutospacing="1"/>
        <w:rPr>
          <w:rFonts w:asciiTheme="majorBidi" w:hAnsiTheme="majorBidi"/>
          <w:b/>
          <w:bCs/>
          <w:i/>
          <w:iCs/>
          <w:color w:val="auto"/>
        </w:rPr>
      </w:pPr>
      <w:r>
        <w:rPr>
          <w:rFonts w:asciiTheme="majorBidi" w:hAnsiTheme="majorBidi"/>
          <w:b/>
          <w:bCs/>
          <w:i/>
          <w:iCs/>
          <w:color w:val="auto"/>
        </w:rPr>
        <w:t>État de la couverture sociale et médicale</w:t>
      </w:r>
      <w:r w:rsidR="00076044" w:rsidRPr="00AD29CD">
        <w:rPr>
          <w:rFonts w:asciiTheme="majorBidi" w:hAnsiTheme="majorBidi"/>
          <w:b/>
          <w:bCs/>
          <w:i/>
          <w:iCs/>
          <w:color w:val="auto"/>
        </w:rPr>
        <w:t> :</w:t>
      </w:r>
    </w:p>
    <w:p w:rsidR="00CF6D0C" w:rsidRPr="00CF6D0C" w:rsidRDefault="00CF6D0C" w:rsidP="00CF6D0C">
      <w:pPr>
        <w:autoSpaceDE w:val="0"/>
        <w:autoSpaceDN w:val="0"/>
        <w:adjustRightInd w:val="0"/>
        <w:spacing w:after="0" w:line="360" w:lineRule="auto"/>
        <w:ind w:firstLine="360"/>
        <w:jc w:val="both"/>
        <w:rPr>
          <w:rFonts w:asciiTheme="majorBidi" w:hAnsiTheme="majorBidi" w:cstheme="majorBidi"/>
          <w:sz w:val="24"/>
          <w:szCs w:val="24"/>
        </w:rPr>
      </w:pPr>
      <w:r w:rsidRPr="00CF6D0C">
        <w:rPr>
          <w:rFonts w:asciiTheme="majorBidi" w:hAnsiTheme="majorBidi" w:cstheme="majorBidi"/>
          <w:sz w:val="24"/>
          <w:szCs w:val="24"/>
        </w:rPr>
        <w:t>La possession d’une couverture sociale et médicale joue un rôle essentiel dans l’évolution du niveau de vie des personnes âgées. C’est un moyen de sortir du dénuement vu que la pension de retraire par exemple présente la majeure partie des ressources de cette frange de la population.</w:t>
      </w:r>
    </w:p>
    <w:p w:rsidR="00CF6D0C" w:rsidRPr="00CF6D0C" w:rsidRDefault="00CF6D0C" w:rsidP="00CF6D0C">
      <w:pPr>
        <w:autoSpaceDE w:val="0"/>
        <w:autoSpaceDN w:val="0"/>
        <w:adjustRightInd w:val="0"/>
        <w:spacing w:after="0" w:line="360" w:lineRule="auto"/>
        <w:jc w:val="both"/>
        <w:rPr>
          <w:rFonts w:asciiTheme="majorBidi" w:hAnsiTheme="majorBidi" w:cstheme="majorBidi"/>
          <w:sz w:val="24"/>
          <w:szCs w:val="24"/>
        </w:rPr>
      </w:pPr>
      <w:r w:rsidRPr="00CF6D0C">
        <w:rPr>
          <w:rFonts w:asciiTheme="majorBidi" w:hAnsiTheme="majorBidi" w:cstheme="majorBidi"/>
          <w:sz w:val="24"/>
          <w:szCs w:val="24"/>
        </w:rPr>
        <w:t>Les résultats de l’enquête révèlent que seulement 16% des personnes âgées bénéficient d’une pension de retraite. Cette part présente une forte disparité entre les hommes et les femmes : 30.4 % pour les hommes et à peine 3% pour les femmes. Cette différence est due aux inégalités entre les femmes et les hommes dans le domaine de l’emploi rémunéré (salarié), et du fait que les femmes exercent moins souvent une activité rémunérée (font plutôt du travail domestique ou aide familiale).</w:t>
      </w:r>
    </w:p>
    <w:p w:rsidR="00682ADA" w:rsidRDefault="00682ADA">
      <w:pPr>
        <w:rPr>
          <w:rStyle w:val="Emphaseple"/>
          <w:rFonts w:asciiTheme="majorBidi" w:eastAsiaTheme="minorEastAsia" w:hAnsiTheme="majorBidi" w:cstheme="majorBidi"/>
          <w:b/>
          <w:bCs/>
          <w:color w:val="auto"/>
          <w:spacing w:val="15"/>
          <w:sz w:val="24"/>
          <w:szCs w:val="24"/>
        </w:rPr>
      </w:pPr>
      <w:bookmarkStart w:id="6" w:name="_Toc439810060"/>
      <w:r>
        <w:rPr>
          <w:rStyle w:val="Emphaseple"/>
          <w:rFonts w:asciiTheme="majorBidi" w:hAnsiTheme="majorBidi" w:cstheme="majorBidi"/>
          <w:b/>
          <w:bCs/>
          <w:color w:val="auto"/>
          <w:sz w:val="24"/>
          <w:szCs w:val="24"/>
        </w:rPr>
        <w:br w:type="page"/>
      </w:r>
    </w:p>
    <w:p w:rsidR="00CF6D0C" w:rsidRPr="00CF6D0C" w:rsidRDefault="00CF6D0C" w:rsidP="00CF6D0C">
      <w:pPr>
        <w:pStyle w:val="Sous-titre"/>
        <w:numPr>
          <w:ilvl w:val="0"/>
          <w:numId w:val="0"/>
        </w:numPr>
        <w:spacing w:before="100" w:beforeAutospacing="1" w:after="0"/>
        <w:jc w:val="center"/>
        <w:rPr>
          <w:rFonts w:asciiTheme="majorBidi" w:hAnsiTheme="majorBidi" w:cstheme="majorBidi"/>
          <w:shd w:val="clear" w:color="auto" w:fill="FFFFFF"/>
        </w:rPr>
      </w:pPr>
      <w:r w:rsidRPr="00CF6D0C">
        <w:rPr>
          <w:rStyle w:val="Emphaseple"/>
          <w:rFonts w:asciiTheme="majorBidi" w:hAnsiTheme="majorBidi" w:cstheme="majorBidi"/>
          <w:b/>
          <w:bCs/>
          <w:color w:val="auto"/>
          <w:sz w:val="24"/>
          <w:szCs w:val="24"/>
        </w:rPr>
        <w:lastRenderedPageBreak/>
        <w:t>Tableau 4 : Taux de couverture sociale des personnes âgées selon le sexe et le milieu de résidence</w:t>
      </w:r>
      <w:bookmarkEnd w:id="6"/>
    </w:p>
    <w:tbl>
      <w:tblPr>
        <w:tblStyle w:val="ListTable6Colorful-Accent31"/>
        <w:tblW w:w="7343" w:type="dxa"/>
        <w:jc w:val="center"/>
        <w:tblLook w:val="04A0"/>
      </w:tblPr>
      <w:tblGrid>
        <w:gridCol w:w="2655"/>
        <w:gridCol w:w="1951"/>
        <w:gridCol w:w="1348"/>
        <w:gridCol w:w="1389"/>
      </w:tblGrid>
      <w:tr w:rsidR="00CF6D0C" w:rsidRPr="00CF6D0C" w:rsidTr="00D35A9F">
        <w:trPr>
          <w:cnfStyle w:val="100000000000"/>
          <w:trHeight w:val="324"/>
          <w:jc w:val="center"/>
        </w:trPr>
        <w:tc>
          <w:tcPr>
            <w:cnfStyle w:val="001000000000"/>
            <w:tcW w:w="2655" w:type="dxa"/>
            <w:vMerge w:val="restart"/>
            <w:noWrap/>
          </w:tcPr>
          <w:p w:rsidR="00CF6D0C" w:rsidRPr="00CF6D0C" w:rsidRDefault="00CF6D0C" w:rsidP="00D35A9F">
            <w:pPr>
              <w:jc w:val="cente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Milieu</w:t>
            </w:r>
          </w:p>
        </w:tc>
        <w:tc>
          <w:tcPr>
            <w:tcW w:w="3299" w:type="dxa"/>
            <w:gridSpan w:val="2"/>
            <w:noWrap/>
            <w:hideMark/>
          </w:tcPr>
          <w:p w:rsidR="00CF6D0C" w:rsidRPr="00CF6D0C" w:rsidRDefault="00CF6D0C" w:rsidP="00D35A9F">
            <w:pPr>
              <w:jc w:val="center"/>
              <w:cnfStyle w:val="1000000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Sexe</w:t>
            </w:r>
          </w:p>
        </w:tc>
        <w:tc>
          <w:tcPr>
            <w:tcW w:w="1389" w:type="dxa"/>
            <w:vMerge w:val="restart"/>
            <w:noWrap/>
            <w:hideMark/>
          </w:tcPr>
          <w:p w:rsidR="00CF6D0C" w:rsidRPr="00CF6D0C" w:rsidRDefault="00CF6D0C" w:rsidP="00D35A9F">
            <w:pPr>
              <w:jc w:val="center"/>
              <w:cnfStyle w:val="1000000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Total</w:t>
            </w:r>
          </w:p>
        </w:tc>
      </w:tr>
      <w:tr w:rsidR="00CF6D0C" w:rsidRPr="00CF6D0C" w:rsidTr="00D35A9F">
        <w:trPr>
          <w:cnfStyle w:val="000000100000"/>
          <w:trHeight w:val="324"/>
          <w:jc w:val="center"/>
        </w:trPr>
        <w:tc>
          <w:tcPr>
            <w:cnfStyle w:val="001000000000"/>
            <w:tcW w:w="2655" w:type="dxa"/>
            <w:vMerge/>
          </w:tcPr>
          <w:p w:rsidR="00CF6D0C" w:rsidRPr="00CF6D0C" w:rsidRDefault="00CF6D0C" w:rsidP="00D35A9F">
            <w:pPr>
              <w:rPr>
                <w:rFonts w:asciiTheme="majorBidi" w:eastAsia="Times New Roman" w:hAnsiTheme="majorBidi" w:cstheme="majorBidi"/>
                <w:color w:val="000000"/>
                <w:lang w:eastAsia="fr-FR"/>
              </w:rPr>
            </w:pPr>
          </w:p>
        </w:tc>
        <w:tc>
          <w:tcPr>
            <w:tcW w:w="1951" w:type="dxa"/>
            <w:noWrap/>
          </w:tcPr>
          <w:p w:rsidR="00CF6D0C" w:rsidRPr="00CF6D0C" w:rsidRDefault="00CF6D0C" w:rsidP="00D35A9F">
            <w:pPr>
              <w:jc w:val="center"/>
              <w:cnfStyle w:val="0000001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Masculin</w:t>
            </w:r>
          </w:p>
        </w:tc>
        <w:tc>
          <w:tcPr>
            <w:tcW w:w="1348" w:type="dxa"/>
            <w:noWrap/>
          </w:tcPr>
          <w:p w:rsidR="00CF6D0C" w:rsidRPr="00CF6D0C" w:rsidRDefault="00CF6D0C" w:rsidP="00D35A9F">
            <w:pPr>
              <w:jc w:val="center"/>
              <w:cnfStyle w:val="0000001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Féminin</w:t>
            </w:r>
          </w:p>
        </w:tc>
        <w:tc>
          <w:tcPr>
            <w:tcW w:w="1389" w:type="dxa"/>
            <w:vMerge/>
            <w:hideMark/>
          </w:tcPr>
          <w:p w:rsidR="00CF6D0C" w:rsidRPr="00CF6D0C" w:rsidRDefault="00CF6D0C" w:rsidP="00D35A9F">
            <w:pPr>
              <w:cnfStyle w:val="000000100000"/>
              <w:rPr>
                <w:rFonts w:asciiTheme="majorBidi" w:eastAsia="Times New Roman" w:hAnsiTheme="majorBidi" w:cstheme="majorBidi"/>
                <w:color w:val="000000"/>
                <w:lang w:eastAsia="fr-FR"/>
              </w:rPr>
            </w:pPr>
          </w:p>
        </w:tc>
      </w:tr>
      <w:tr w:rsidR="00CF6D0C" w:rsidRPr="00CF6D0C" w:rsidTr="00D35A9F">
        <w:trPr>
          <w:trHeight w:val="324"/>
          <w:jc w:val="center"/>
        </w:trPr>
        <w:tc>
          <w:tcPr>
            <w:cnfStyle w:val="001000000000"/>
            <w:tcW w:w="2655" w:type="dxa"/>
            <w:noWrap/>
          </w:tcPr>
          <w:p w:rsidR="00CF6D0C" w:rsidRPr="00CF6D0C" w:rsidRDefault="00CF6D0C" w:rsidP="00D35A9F">
            <w:pP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Urbain</w:t>
            </w:r>
          </w:p>
        </w:tc>
        <w:tc>
          <w:tcPr>
            <w:tcW w:w="1951"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51.56</w:t>
            </w:r>
          </w:p>
        </w:tc>
        <w:tc>
          <w:tcPr>
            <w:tcW w:w="1348"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5.41</w:t>
            </w:r>
          </w:p>
        </w:tc>
        <w:tc>
          <w:tcPr>
            <w:tcW w:w="1389"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26.93</w:t>
            </w:r>
          </w:p>
        </w:tc>
      </w:tr>
      <w:tr w:rsidR="00CF6D0C" w:rsidRPr="00CF6D0C" w:rsidTr="00D35A9F">
        <w:trPr>
          <w:cnfStyle w:val="000000100000"/>
          <w:trHeight w:val="324"/>
          <w:jc w:val="center"/>
        </w:trPr>
        <w:tc>
          <w:tcPr>
            <w:cnfStyle w:val="001000000000"/>
            <w:tcW w:w="2655" w:type="dxa"/>
            <w:noWrap/>
          </w:tcPr>
          <w:p w:rsidR="00CF6D0C" w:rsidRPr="00CF6D0C" w:rsidRDefault="00CF6D0C" w:rsidP="00D35A9F">
            <w:pP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Rural</w:t>
            </w:r>
          </w:p>
        </w:tc>
        <w:tc>
          <w:tcPr>
            <w:tcW w:w="1951" w:type="dxa"/>
            <w:noWrap/>
          </w:tcPr>
          <w:p w:rsidR="00CF6D0C" w:rsidRPr="00CF6D0C" w:rsidRDefault="00CF6D0C" w:rsidP="00D35A9F">
            <w:pPr>
              <w:jc w:val="center"/>
              <w:cnfStyle w:val="000000100000"/>
              <w:rPr>
                <w:rFonts w:asciiTheme="majorBidi" w:eastAsia="Times New Roman" w:hAnsiTheme="majorBidi" w:cstheme="majorBidi"/>
                <w:color w:val="000000"/>
              </w:rPr>
            </w:pPr>
            <w:r w:rsidRPr="00CF6D0C">
              <w:rPr>
                <w:rFonts w:asciiTheme="majorBidi" w:eastAsia="Times New Roman" w:hAnsiTheme="majorBidi" w:cstheme="majorBidi"/>
                <w:color w:val="000000"/>
              </w:rPr>
              <w:t>8.26</w:t>
            </w:r>
          </w:p>
        </w:tc>
        <w:tc>
          <w:tcPr>
            <w:tcW w:w="1348" w:type="dxa"/>
            <w:noWrap/>
          </w:tcPr>
          <w:p w:rsidR="00CF6D0C" w:rsidRPr="00CF6D0C" w:rsidRDefault="00CF6D0C" w:rsidP="00D35A9F">
            <w:pPr>
              <w:jc w:val="center"/>
              <w:cnfStyle w:val="000000100000"/>
              <w:rPr>
                <w:rFonts w:asciiTheme="majorBidi" w:eastAsia="Times New Roman" w:hAnsiTheme="majorBidi" w:cstheme="majorBidi"/>
                <w:color w:val="000000"/>
              </w:rPr>
            </w:pPr>
            <w:r w:rsidRPr="00CF6D0C">
              <w:rPr>
                <w:rFonts w:asciiTheme="majorBidi" w:eastAsia="Times New Roman" w:hAnsiTheme="majorBidi" w:cstheme="majorBidi"/>
                <w:color w:val="000000"/>
              </w:rPr>
              <w:t>0.12</w:t>
            </w:r>
          </w:p>
        </w:tc>
        <w:tc>
          <w:tcPr>
            <w:tcW w:w="1389" w:type="dxa"/>
            <w:noWrap/>
          </w:tcPr>
          <w:p w:rsidR="00CF6D0C" w:rsidRPr="00CF6D0C" w:rsidRDefault="00CF6D0C" w:rsidP="00D35A9F">
            <w:pPr>
              <w:jc w:val="center"/>
              <w:cnfStyle w:val="000000100000"/>
              <w:rPr>
                <w:rFonts w:asciiTheme="majorBidi" w:eastAsia="Times New Roman" w:hAnsiTheme="majorBidi" w:cstheme="majorBidi"/>
                <w:color w:val="000000"/>
              </w:rPr>
            </w:pPr>
            <w:r w:rsidRPr="00CF6D0C">
              <w:rPr>
                <w:rFonts w:asciiTheme="majorBidi" w:eastAsia="Times New Roman" w:hAnsiTheme="majorBidi" w:cstheme="majorBidi"/>
                <w:color w:val="000000"/>
              </w:rPr>
              <w:t>4.12</w:t>
            </w:r>
          </w:p>
        </w:tc>
      </w:tr>
      <w:tr w:rsidR="00CF6D0C" w:rsidRPr="00CF6D0C" w:rsidTr="00D35A9F">
        <w:trPr>
          <w:trHeight w:val="324"/>
          <w:jc w:val="center"/>
        </w:trPr>
        <w:tc>
          <w:tcPr>
            <w:cnfStyle w:val="001000000000"/>
            <w:tcW w:w="2655" w:type="dxa"/>
            <w:noWrap/>
          </w:tcPr>
          <w:p w:rsidR="00CF6D0C" w:rsidRPr="00CF6D0C" w:rsidRDefault="00CF6D0C" w:rsidP="00D35A9F">
            <w:pP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Total</w:t>
            </w:r>
          </w:p>
        </w:tc>
        <w:tc>
          <w:tcPr>
            <w:tcW w:w="1951" w:type="dxa"/>
            <w:noWrap/>
          </w:tcPr>
          <w:p w:rsidR="00CF6D0C" w:rsidRPr="00CF6D0C" w:rsidRDefault="00CF6D0C" w:rsidP="00D35A9F">
            <w:pPr>
              <w:autoSpaceDE w:val="0"/>
              <w:autoSpaceDN w:val="0"/>
              <w:adjustRightInd w:val="0"/>
              <w:spacing w:before="120"/>
              <w:jc w:val="center"/>
              <w:cnfStyle w:val="000000000000"/>
              <w:rPr>
                <w:rFonts w:asciiTheme="majorBidi" w:eastAsiaTheme="minorEastAsia" w:hAnsiTheme="majorBidi" w:cstheme="majorBidi"/>
                <w:color w:val="000000" w:themeColor="text1"/>
              </w:rPr>
            </w:pPr>
            <w:r w:rsidRPr="00CF6D0C">
              <w:rPr>
                <w:rFonts w:asciiTheme="majorBidi" w:hAnsiTheme="majorBidi" w:cstheme="majorBidi"/>
                <w:color w:val="000000" w:themeColor="text1"/>
              </w:rPr>
              <w:t>30.38</w:t>
            </w:r>
          </w:p>
        </w:tc>
        <w:tc>
          <w:tcPr>
            <w:tcW w:w="1348" w:type="dxa"/>
            <w:noWrap/>
          </w:tcPr>
          <w:p w:rsidR="00CF6D0C" w:rsidRPr="00CF6D0C" w:rsidRDefault="00CF6D0C" w:rsidP="00D35A9F">
            <w:pPr>
              <w:autoSpaceDE w:val="0"/>
              <w:autoSpaceDN w:val="0"/>
              <w:adjustRightInd w:val="0"/>
              <w:spacing w:before="120"/>
              <w:jc w:val="center"/>
              <w:cnfStyle w:val="000000000000"/>
              <w:rPr>
                <w:rFonts w:asciiTheme="majorBidi" w:hAnsiTheme="majorBidi" w:cstheme="majorBidi"/>
                <w:color w:val="000000" w:themeColor="text1"/>
              </w:rPr>
            </w:pPr>
            <w:r w:rsidRPr="00CF6D0C">
              <w:rPr>
                <w:rFonts w:asciiTheme="majorBidi" w:hAnsiTheme="majorBidi" w:cstheme="majorBidi"/>
                <w:color w:val="000000" w:themeColor="text1"/>
              </w:rPr>
              <w:t>2.95</w:t>
            </w:r>
          </w:p>
        </w:tc>
        <w:tc>
          <w:tcPr>
            <w:tcW w:w="1389" w:type="dxa"/>
            <w:noWrap/>
          </w:tcPr>
          <w:p w:rsidR="00CF6D0C" w:rsidRPr="00CF6D0C" w:rsidRDefault="00CF6D0C" w:rsidP="00D35A9F">
            <w:pPr>
              <w:autoSpaceDE w:val="0"/>
              <w:autoSpaceDN w:val="0"/>
              <w:adjustRightInd w:val="0"/>
              <w:spacing w:before="120"/>
              <w:jc w:val="center"/>
              <w:cnfStyle w:val="000000000000"/>
              <w:rPr>
                <w:rFonts w:asciiTheme="majorBidi" w:hAnsiTheme="majorBidi" w:cstheme="majorBidi"/>
                <w:color w:val="000000" w:themeColor="text1"/>
              </w:rPr>
            </w:pPr>
            <w:r w:rsidRPr="00CF6D0C">
              <w:rPr>
                <w:rFonts w:asciiTheme="majorBidi" w:hAnsiTheme="majorBidi" w:cstheme="majorBidi"/>
                <w:color w:val="000000" w:themeColor="text1"/>
              </w:rPr>
              <w:t>16.06</w:t>
            </w:r>
          </w:p>
        </w:tc>
      </w:tr>
    </w:tbl>
    <w:p w:rsidR="00CF6D0C" w:rsidRPr="00CF6D0C" w:rsidRDefault="00CF6D0C" w:rsidP="00CF6D0C">
      <w:pPr>
        <w:autoSpaceDE w:val="0"/>
        <w:autoSpaceDN w:val="0"/>
        <w:adjustRightInd w:val="0"/>
        <w:spacing w:after="100" w:afterAutospacing="1" w:line="360" w:lineRule="auto"/>
        <w:jc w:val="center"/>
        <w:rPr>
          <w:rFonts w:asciiTheme="majorBidi" w:hAnsiTheme="majorBidi" w:cstheme="majorBidi"/>
          <w:color w:val="000000"/>
          <w:sz w:val="24"/>
          <w:szCs w:val="24"/>
          <w:shd w:val="clear" w:color="auto" w:fill="FFFFFF"/>
        </w:rPr>
      </w:pPr>
      <w:r w:rsidRPr="00CF6D0C">
        <w:rPr>
          <w:rFonts w:asciiTheme="majorBidi" w:hAnsiTheme="majorBidi" w:cstheme="majorBidi"/>
          <w:color w:val="000000"/>
          <w:sz w:val="24"/>
          <w:szCs w:val="24"/>
          <w:shd w:val="clear" w:color="auto" w:fill="FFFFFF"/>
        </w:rPr>
        <w:t>Source : Traitements des auteurs à partir de l’ENPA 2006, HCP</w:t>
      </w:r>
    </w:p>
    <w:p w:rsidR="00CF6D0C" w:rsidRPr="00EF395D" w:rsidRDefault="00CF6D0C" w:rsidP="00EF395D">
      <w:pPr>
        <w:autoSpaceDE w:val="0"/>
        <w:autoSpaceDN w:val="0"/>
        <w:adjustRightInd w:val="0"/>
        <w:spacing w:after="100" w:afterAutospacing="1" w:line="360" w:lineRule="auto"/>
        <w:jc w:val="both"/>
        <w:rPr>
          <w:rFonts w:asciiTheme="majorBidi" w:hAnsiTheme="majorBidi" w:cstheme="majorBidi"/>
          <w:sz w:val="24"/>
          <w:szCs w:val="24"/>
        </w:rPr>
      </w:pPr>
      <w:r w:rsidRPr="00CF6D0C">
        <w:rPr>
          <w:rFonts w:asciiTheme="majorBidi" w:hAnsiTheme="majorBidi" w:cstheme="majorBidi"/>
          <w:color w:val="000000"/>
          <w:sz w:val="24"/>
          <w:szCs w:val="24"/>
          <w:shd w:val="clear" w:color="auto" w:fill="FFFFFF"/>
        </w:rPr>
        <w:t xml:space="preserve">Il en est de même pour la répartition par milieu de résidence. En effet le taux de couverture sociale </w:t>
      </w:r>
      <w:r w:rsidRPr="00CF6D0C">
        <w:rPr>
          <w:rFonts w:asciiTheme="majorBidi" w:hAnsiTheme="majorBidi" w:cstheme="majorBidi"/>
          <w:sz w:val="24"/>
          <w:szCs w:val="24"/>
        </w:rPr>
        <w:t>est de 6 fois et demi supérieur dans les villes que dans les campagnes. Ces résultats corroborent la réalité dans la mesure où le milieu rural pâtit toujours du manque d’éléments de confort et d’infrastructure de base comparativement au milieu urbain.</w:t>
      </w:r>
    </w:p>
    <w:p w:rsidR="00CF6D0C" w:rsidRPr="00CF6D0C" w:rsidRDefault="00CF6D0C" w:rsidP="00CF6D0C">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7" w:name="_Toc439810061"/>
      <w:r w:rsidRPr="00CF6D0C">
        <w:rPr>
          <w:rStyle w:val="Emphaseple"/>
          <w:rFonts w:asciiTheme="majorBidi" w:hAnsiTheme="majorBidi" w:cstheme="majorBidi"/>
          <w:b/>
          <w:bCs/>
          <w:color w:val="auto"/>
          <w:sz w:val="24"/>
          <w:szCs w:val="24"/>
        </w:rPr>
        <w:t>Tableau  5 : Taux de couverture médicale des personnes âgées selon le sexe et le milieu de résidence</w:t>
      </w:r>
      <w:bookmarkEnd w:id="7"/>
    </w:p>
    <w:tbl>
      <w:tblPr>
        <w:tblStyle w:val="ListTable6Colorful-Accent31"/>
        <w:tblW w:w="8141" w:type="dxa"/>
        <w:jc w:val="center"/>
        <w:tblLook w:val="04A0"/>
      </w:tblPr>
      <w:tblGrid>
        <w:gridCol w:w="2475"/>
        <w:gridCol w:w="1818"/>
        <w:gridCol w:w="1257"/>
        <w:gridCol w:w="1297"/>
        <w:gridCol w:w="1294"/>
      </w:tblGrid>
      <w:tr w:rsidR="00CF6D0C" w:rsidRPr="00CF6D0C" w:rsidTr="00D35A9F">
        <w:trPr>
          <w:cnfStyle w:val="100000000000"/>
          <w:trHeight w:val="262"/>
          <w:jc w:val="center"/>
        </w:trPr>
        <w:tc>
          <w:tcPr>
            <w:cnfStyle w:val="001000000000"/>
            <w:tcW w:w="2475" w:type="dxa"/>
            <w:vMerge w:val="restart"/>
            <w:noWrap/>
          </w:tcPr>
          <w:p w:rsidR="00CF6D0C" w:rsidRPr="00CF6D0C" w:rsidRDefault="00CF6D0C" w:rsidP="00D35A9F">
            <w:pPr>
              <w:jc w:val="cente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Milieu</w:t>
            </w:r>
          </w:p>
        </w:tc>
        <w:tc>
          <w:tcPr>
            <w:tcW w:w="4372" w:type="dxa"/>
            <w:gridSpan w:val="3"/>
            <w:noWrap/>
            <w:hideMark/>
          </w:tcPr>
          <w:p w:rsidR="00CF6D0C" w:rsidRPr="00CF6D0C" w:rsidRDefault="00CF6D0C" w:rsidP="00D35A9F">
            <w:pPr>
              <w:jc w:val="center"/>
              <w:cnfStyle w:val="1000000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2006</w:t>
            </w:r>
          </w:p>
        </w:tc>
        <w:tc>
          <w:tcPr>
            <w:tcW w:w="1294" w:type="dxa"/>
          </w:tcPr>
          <w:p w:rsidR="00CF6D0C" w:rsidRPr="00CF6D0C" w:rsidRDefault="00CF6D0C" w:rsidP="00D35A9F">
            <w:pPr>
              <w:jc w:val="center"/>
              <w:cnfStyle w:val="1000000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2014</w:t>
            </w:r>
          </w:p>
        </w:tc>
      </w:tr>
      <w:tr w:rsidR="00CF6D0C" w:rsidRPr="00CF6D0C" w:rsidTr="00D35A9F">
        <w:trPr>
          <w:cnfStyle w:val="000000100000"/>
          <w:trHeight w:val="262"/>
          <w:jc w:val="center"/>
        </w:trPr>
        <w:tc>
          <w:tcPr>
            <w:cnfStyle w:val="001000000000"/>
            <w:tcW w:w="2475" w:type="dxa"/>
            <w:vMerge/>
          </w:tcPr>
          <w:p w:rsidR="00CF6D0C" w:rsidRPr="00CF6D0C" w:rsidRDefault="00CF6D0C" w:rsidP="00D35A9F">
            <w:pPr>
              <w:rPr>
                <w:rFonts w:asciiTheme="majorBidi" w:eastAsia="Times New Roman" w:hAnsiTheme="majorBidi" w:cstheme="majorBidi"/>
                <w:color w:val="000000"/>
                <w:lang w:eastAsia="fr-FR"/>
              </w:rPr>
            </w:pPr>
          </w:p>
        </w:tc>
        <w:tc>
          <w:tcPr>
            <w:tcW w:w="1818" w:type="dxa"/>
            <w:noWrap/>
          </w:tcPr>
          <w:p w:rsidR="00CF6D0C" w:rsidRPr="00CF6D0C" w:rsidRDefault="00CF6D0C" w:rsidP="00D35A9F">
            <w:pPr>
              <w:jc w:val="center"/>
              <w:cnfStyle w:val="0000001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Masculin</w:t>
            </w:r>
          </w:p>
        </w:tc>
        <w:tc>
          <w:tcPr>
            <w:tcW w:w="1257" w:type="dxa"/>
            <w:noWrap/>
          </w:tcPr>
          <w:p w:rsidR="00CF6D0C" w:rsidRPr="00CF6D0C" w:rsidRDefault="00CF6D0C" w:rsidP="00D35A9F">
            <w:pPr>
              <w:jc w:val="center"/>
              <w:cnfStyle w:val="0000001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Féminin</w:t>
            </w:r>
          </w:p>
        </w:tc>
        <w:tc>
          <w:tcPr>
            <w:tcW w:w="1296" w:type="dxa"/>
            <w:hideMark/>
          </w:tcPr>
          <w:p w:rsidR="00CF6D0C" w:rsidRPr="00CF6D0C" w:rsidRDefault="00CF6D0C" w:rsidP="00D35A9F">
            <w:pPr>
              <w:cnfStyle w:val="0000001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Total</w:t>
            </w:r>
          </w:p>
        </w:tc>
        <w:tc>
          <w:tcPr>
            <w:tcW w:w="1294" w:type="dxa"/>
          </w:tcPr>
          <w:p w:rsidR="00CF6D0C" w:rsidRPr="00CF6D0C" w:rsidRDefault="00CF6D0C" w:rsidP="00D35A9F">
            <w:pPr>
              <w:cnfStyle w:val="000000100000"/>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Total</w:t>
            </w:r>
          </w:p>
        </w:tc>
      </w:tr>
      <w:tr w:rsidR="00CF6D0C" w:rsidRPr="00CF6D0C" w:rsidTr="00D35A9F">
        <w:trPr>
          <w:trHeight w:val="262"/>
          <w:jc w:val="center"/>
        </w:trPr>
        <w:tc>
          <w:tcPr>
            <w:cnfStyle w:val="001000000000"/>
            <w:tcW w:w="2475" w:type="dxa"/>
            <w:noWrap/>
          </w:tcPr>
          <w:p w:rsidR="00CF6D0C" w:rsidRPr="00CF6D0C" w:rsidRDefault="00CF6D0C" w:rsidP="00D35A9F">
            <w:pP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Urbain</w:t>
            </w:r>
          </w:p>
        </w:tc>
        <w:tc>
          <w:tcPr>
            <w:tcW w:w="1818"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31.69</w:t>
            </w:r>
          </w:p>
        </w:tc>
        <w:tc>
          <w:tcPr>
            <w:tcW w:w="1257"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13.66</w:t>
            </w:r>
          </w:p>
        </w:tc>
        <w:tc>
          <w:tcPr>
            <w:tcW w:w="1296"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22.06</w:t>
            </w:r>
          </w:p>
        </w:tc>
        <w:tc>
          <w:tcPr>
            <w:tcW w:w="1294" w:type="dxa"/>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45,8%</w:t>
            </w:r>
          </w:p>
        </w:tc>
      </w:tr>
      <w:tr w:rsidR="00CF6D0C" w:rsidRPr="00CF6D0C" w:rsidTr="00D35A9F">
        <w:trPr>
          <w:cnfStyle w:val="000000100000"/>
          <w:trHeight w:val="262"/>
          <w:jc w:val="center"/>
        </w:trPr>
        <w:tc>
          <w:tcPr>
            <w:cnfStyle w:val="001000000000"/>
            <w:tcW w:w="2475" w:type="dxa"/>
            <w:noWrap/>
          </w:tcPr>
          <w:p w:rsidR="00CF6D0C" w:rsidRPr="00CF6D0C" w:rsidRDefault="00CF6D0C" w:rsidP="00D35A9F">
            <w:pP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Rural</w:t>
            </w:r>
          </w:p>
        </w:tc>
        <w:tc>
          <w:tcPr>
            <w:tcW w:w="1818" w:type="dxa"/>
            <w:noWrap/>
          </w:tcPr>
          <w:p w:rsidR="00CF6D0C" w:rsidRPr="00CF6D0C" w:rsidRDefault="00CF6D0C" w:rsidP="00D35A9F">
            <w:pPr>
              <w:jc w:val="center"/>
              <w:cnfStyle w:val="000000100000"/>
              <w:rPr>
                <w:rFonts w:asciiTheme="majorBidi" w:eastAsia="Times New Roman" w:hAnsiTheme="majorBidi" w:cstheme="majorBidi"/>
                <w:color w:val="000000"/>
              </w:rPr>
            </w:pPr>
            <w:r w:rsidRPr="00CF6D0C">
              <w:rPr>
                <w:rFonts w:asciiTheme="majorBidi" w:eastAsia="Times New Roman" w:hAnsiTheme="majorBidi" w:cstheme="majorBidi"/>
                <w:color w:val="000000"/>
              </w:rPr>
              <w:t>4.15</w:t>
            </w:r>
          </w:p>
        </w:tc>
        <w:tc>
          <w:tcPr>
            <w:tcW w:w="1257" w:type="dxa"/>
            <w:noWrap/>
          </w:tcPr>
          <w:p w:rsidR="00CF6D0C" w:rsidRPr="00CF6D0C" w:rsidRDefault="00CF6D0C" w:rsidP="00D35A9F">
            <w:pPr>
              <w:jc w:val="center"/>
              <w:cnfStyle w:val="000000100000"/>
              <w:rPr>
                <w:rFonts w:asciiTheme="majorBidi" w:eastAsia="Times New Roman" w:hAnsiTheme="majorBidi" w:cstheme="majorBidi"/>
                <w:color w:val="000000"/>
              </w:rPr>
            </w:pPr>
            <w:r w:rsidRPr="00CF6D0C">
              <w:rPr>
                <w:rFonts w:asciiTheme="majorBidi" w:eastAsia="Times New Roman" w:hAnsiTheme="majorBidi" w:cstheme="majorBidi"/>
                <w:color w:val="000000"/>
              </w:rPr>
              <w:t>2.08</w:t>
            </w:r>
          </w:p>
        </w:tc>
        <w:tc>
          <w:tcPr>
            <w:tcW w:w="1296" w:type="dxa"/>
            <w:noWrap/>
          </w:tcPr>
          <w:p w:rsidR="00CF6D0C" w:rsidRPr="00CF6D0C" w:rsidRDefault="00CF6D0C" w:rsidP="00D35A9F">
            <w:pPr>
              <w:jc w:val="center"/>
              <w:cnfStyle w:val="000000100000"/>
              <w:rPr>
                <w:rFonts w:asciiTheme="majorBidi" w:eastAsia="Times New Roman" w:hAnsiTheme="majorBidi" w:cstheme="majorBidi"/>
                <w:color w:val="000000"/>
              </w:rPr>
            </w:pPr>
            <w:r w:rsidRPr="00CF6D0C">
              <w:rPr>
                <w:rFonts w:asciiTheme="majorBidi" w:eastAsia="Times New Roman" w:hAnsiTheme="majorBidi" w:cstheme="majorBidi"/>
                <w:color w:val="000000"/>
              </w:rPr>
              <w:t>3.10</w:t>
            </w:r>
          </w:p>
        </w:tc>
        <w:tc>
          <w:tcPr>
            <w:tcW w:w="1294" w:type="dxa"/>
          </w:tcPr>
          <w:p w:rsidR="00CF6D0C" w:rsidRPr="00CF6D0C" w:rsidRDefault="00CF6D0C" w:rsidP="00D35A9F">
            <w:pPr>
              <w:jc w:val="center"/>
              <w:cnfStyle w:val="000000100000"/>
              <w:rPr>
                <w:rFonts w:asciiTheme="majorBidi" w:eastAsia="Times New Roman" w:hAnsiTheme="majorBidi" w:cstheme="majorBidi"/>
                <w:color w:val="000000"/>
              </w:rPr>
            </w:pPr>
            <w:r w:rsidRPr="00CF6D0C">
              <w:rPr>
                <w:rFonts w:asciiTheme="majorBidi" w:eastAsia="Times New Roman" w:hAnsiTheme="majorBidi" w:cstheme="majorBidi"/>
                <w:color w:val="000000"/>
              </w:rPr>
              <w:t>36,9%</w:t>
            </w:r>
          </w:p>
        </w:tc>
      </w:tr>
      <w:tr w:rsidR="00CF6D0C" w:rsidRPr="00CF6D0C" w:rsidTr="00D35A9F">
        <w:trPr>
          <w:trHeight w:val="262"/>
          <w:jc w:val="center"/>
        </w:trPr>
        <w:tc>
          <w:tcPr>
            <w:cnfStyle w:val="001000000000"/>
            <w:tcW w:w="2475" w:type="dxa"/>
            <w:noWrap/>
          </w:tcPr>
          <w:p w:rsidR="00CF6D0C" w:rsidRPr="00CF6D0C" w:rsidRDefault="00CF6D0C" w:rsidP="00D35A9F">
            <w:pPr>
              <w:rPr>
                <w:rFonts w:asciiTheme="majorBidi" w:eastAsia="Times New Roman" w:hAnsiTheme="majorBidi" w:cstheme="majorBidi"/>
                <w:color w:val="000000"/>
                <w:lang w:eastAsia="fr-FR"/>
              </w:rPr>
            </w:pPr>
            <w:r w:rsidRPr="00CF6D0C">
              <w:rPr>
                <w:rFonts w:asciiTheme="majorBidi" w:eastAsia="Times New Roman" w:hAnsiTheme="majorBidi" w:cstheme="majorBidi"/>
                <w:color w:val="000000"/>
                <w:lang w:eastAsia="fr-FR"/>
              </w:rPr>
              <w:t>Total</w:t>
            </w:r>
          </w:p>
        </w:tc>
        <w:tc>
          <w:tcPr>
            <w:tcW w:w="1818"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18.22</w:t>
            </w:r>
          </w:p>
        </w:tc>
        <w:tc>
          <w:tcPr>
            <w:tcW w:w="1257"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8.28</w:t>
            </w:r>
          </w:p>
        </w:tc>
        <w:tc>
          <w:tcPr>
            <w:tcW w:w="1296" w:type="dxa"/>
            <w:noWrap/>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13.03</w:t>
            </w:r>
          </w:p>
        </w:tc>
        <w:tc>
          <w:tcPr>
            <w:tcW w:w="1294" w:type="dxa"/>
          </w:tcPr>
          <w:p w:rsidR="00CF6D0C" w:rsidRPr="00CF6D0C" w:rsidRDefault="00CF6D0C" w:rsidP="00D35A9F">
            <w:pPr>
              <w:jc w:val="center"/>
              <w:cnfStyle w:val="000000000000"/>
              <w:rPr>
                <w:rFonts w:asciiTheme="majorBidi" w:eastAsia="Times New Roman" w:hAnsiTheme="majorBidi" w:cstheme="majorBidi"/>
                <w:color w:val="000000"/>
              </w:rPr>
            </w:pPr>
            <w:r w:rsidRPr="00CF6D0C">
              <w:rPr>
                <w:rFonts w:asciiTheme="majorBidi" w:eastAsia="Times New Roman" w:hAnsiTheme="majorBidi" w:cstheme="majorBidi"/>
                <w:color w:val="000000"/>
              </w:rPr>
              <w:t>37,0</w:t>
            </w:r>
          </w:p>
        </w:tc>
      </w:tr>
    </w:tbl>
    <w:p w:rsidR="00CF6D0C" w:rsidRPr="00CF6D0C" w:rsidRDefault="00CF6D0C" w:rsidP="00CF6D0C">
      <w:pPr>
        <w:autoSpaceDE w:val="0"/>
        <w:autoSpaceDN w:val="0"/>
        <w:adjustRightInd w:val="0"/>
        <w:spacing w:after="100" w:afterAutospacing="1" w:line="240" w:lineRule="auto"/>
        <w:jc w:val="center"/>
        <w:rPr>
          <w:rFonts w:asciiTheme="majorBidi" w:hAnsiTheme="majorBidi" w:cstheme="majorBidi"/>
          <w:color w:val="000000"/>
          <w:sz w:val="24"/>
          <w:szCs w:val="24"/>
          <w:shd w:val="clear" w:color="auto" w:fill="FFFFFF"/>
        </w:rPr>
      </w:pPr>
      <w:r w:rsidRPr="00CF6D0C">
        <w:rPr>
          <w:rFonts w:asciiTheme="majorBidi" w:hAnsiTheme="majorBidi" w:cstheme="majorBidi"/>
          <w:color w:val="000000"/>
          <w:sz w:val="24"/>
          <w:szCs w:val="24"/>
          <w:shd w:val="clear" w:color="auto" w:fill="FFFFFF"/>
        </w:rPr>
        <w:t>Source : Traitements des auteurs à partir de l’ENPA 2006, données provisoires de l’ENCDM 2013/14 - HCP</w:t>
      </w:r>
    </w:p>
    <w:p w:rsidR="00CF6D0C" w:rsidRPr="0084035F" w:rsidRDefault="00CF6D0C" w:rsidP="0084035F">
      <w:pPr>
        <w:autoSpaceDE w:val="0"/>
        <w:autoSpaceDN w:val="0"/>
        <w:adjustRightInd w:val="0"/>
        <w:spacing w:before="240" w:after="0" w:line="360" w:lineRule="auto"/>
        <w:jc w:val="both"/>
        <w:rPr>
          <w:rFonts w:asciiTheme="majorBidi" w:hAnsiTheme="majorBidi" w:cstheme="majorBidi"/>
          <w:sz w:val="24"/>
          <w:szCs w:val="24"/>
        </w:rPr>
      </w:pPr>
      <w:r w:rsidRPr="00CF6D0C">
        <w:rPr>
          <w:rFonts w:asciiTheme="majorBidi" w:hAnsiTheme="majorBidi" w:cstheme="majorBidi"/>
          <w:sz w:val="24"/>
          <w:szCs w:val="24"/>
        </w:rPr>
        <w:t>Pour ce qui est de la couverture médicale, seulement 13.0% des personnes âgées disposent d’une assurance maladie. Il convient de relever, par ailleurs, que les hommes âgés en milieu urbain sont plus couverts que les ruraux, avec, respectivement, un taux de couverture de 31.7% et 4.2% contre 13.7% et 2.1% respectivement pour les femmes. La proportion de la population couverte ne cesse d’augmenter avec le temps surtout après la mise en place du Régime d’Assurance Maladie pour les Economiquement Défavorisés (RAMED). En effet, les résultats provisoires de l’ENCDM 2013/14, montrent que 37.0% des personnes âgées sont couvertes par un système s’assurance maladie. Ce taux varie également selon le milieu de résidence. Il atteint 46.0% chez les citadins contre 24.0% chez les ruraux.</w:t>
      </w:r>
    </w:p>
    <w:p w:rsidR="00A02695" w:rsidRPr="00EF395D" w:rsidRDefault="0084035F" w:rsidP="00EF395D">
      <w:pPr>
        <w:pStyle w:val="Titre3"/>
        <w:numPr>
          <w:ilvl w:val="0"/>
          <w:numId w:val="5"/>
        </w:numPr>
        <w:spacing w:after="100" w:afterAutospacing="1"/>
        <w:rPr>
          <w:rFonts w:asciiTheme="majorBidi" w:hAnsiTheme="majorBidi"/>
          <w:b/>
          <w:bCs/>
          <w:i/>
          <w:iCs/>
          <w:color w:val="auto"/>
        </w:rPr>
      </w:pPr>
      <w:r>
        <w:rPr>
          <w:rFonts w:asciiTheme="majorBidi" w:hAnsiTheme="majorBidi"/>
          <w:b/>
          <w:bCs/>
          <w:i/>
          <w:iCs/>
          <w:color w:val="auto"/>
        </w:rPr>
        <w:t xml:space="preserve">État de </w:t>
      </w:r>
      <w:r w:rsidR="00A02695">
        <w:rPr>
          <w:rFonts w:asciiTheme="majorBidi" w:hAnsiTheme="majorBidi"/>
          <w:b/>
          <w:bCs/>
          <w:i/>
          <w:iCs/>
          <w:color w:val="auto"/>
        </w:rPr>
        <w:t xml:space="preserve">santé </w:t>
      </w:r>
      <w:r w:rsidRPr="00AD29CD">
        <w:rPr>
          <w:rFonts w:asciiTheme="majorBidi" w:hAnsiTheme="majorBidi"/>
          <w:b/>
          <w:bCs/>
          <w:i/>
          <w:iCs/>
          <w:color w:val="auto"/>
        </w:rPr>
        <w:t>:</w:t>
      </w:r>
    </w:p>
    <w:p w:rsidR="00EF395D" w:rsidRPr="00EF395D" w:rsidRDefault="00EF395D" w:rsidP="00EF395D">
      <w:pPr>
        <w:spacing w:before="100" w:beforeAutospacing="1" w:after="100" w:afterAutospacing="1" w:line="360" w:lineRule="auto"/>
        <w:ind w:firstLine="360"/>
        <w:jc w:val="both"/>
        <w:rPr>
          <w:rFonts w:asciiTheme="majorBidi" w:hAnsiTheme="majorBidi" w:cstheme="majorBidi"/>
          <w:sz w:val="24"/>
          <w:szCs w:val="24"/>
        </w:rPr>
      </w:pPr>
      <w:r w:rsidRPr="00EF395D">
        <w:rPr>
          <w:rFonts w:asciiTheme="majorBidi" w:hAnsiTheme="majorBidi" w:cstheme="majorBidi"/>
          <w:sz w:val="24"/>
          <w:szCs w:val="24"/>
        </w:rPr>
        <w:t>De manière générale, les problèmes de santé prennent une place importante dans la vie des personnes âgées. En prenant de l’âge, les personnes doivent faire face à un défi insidieux qui n’est rien d’autre que la perte au niveau de la santé, que ce soit la santé physique ou mentale.</w:t>
      </w:r>
    </w:p>
    <w:p w:rsidR="00EF395D" w:rsidRPr="00EF395D" w:rsidRDefault="00EF395D" w:rsidP="00EF395D">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8" w:name="_Toc439810058"/>
      <w:r w:rsidRPr="00EF395D">
        <w:rPr>
          <w:rStyle w:val="Emphaseple"/>
          <w:rFonts w:asciiTheme="majorBidi" w:hAnsiTheme="majorBidi" w:cstheme="majorBidi"/>
          <w:b/>
          <w:bCs/>
          <w:color w:val="auto"/>
          <w:sz w:val="24"/>
          <w:szCs w:val="24"/>
        </w:rPr>
        <w:lastRenderedPageBreak/>
        <w:t>Tableau 6 : Taux de morbidité des personnes âgées selon le sexe et le milieu de résidence</w:t>
      </w:r>
      <w:bookmarkEnd w:id="8"/>
    </w:p>
    <w:tbl>
      <w:tblPr>
        <w:tblStyle w:val="ListTable6Colorful-Accent31"/>
        <w:tblW w:w="7343" w:type="dxa"/>
        <w:jc w:val="center"/>
        <w:tblLook w:val="04A0"/>
      </w:tblPr>
      <w:tblGrid>
        <w:gridCol w:w="2655"/>
        <w:gridCol w:w="1951"/>
        <w:gridCol w:w="1348"/>
        <w:gridCol w:w="1389"/>
      </w:tblGrid>
      <w:tr w:rsidR="00EF395D" w:rsidRPr="00EF395D" w:rsidTr="00D35A9F">
        <w:trPr>
          <w:cnfStyle w:val="100000000000"/>
          <w:trHeight w:val="324"/>
          <w:jc w:val="center"/>
        </w:trPr>
        <w:tc>
          <w:tcPr>
            <w:cnfStyle w:val="001000000000"/>
            <w:tcW w:w="2655" w:type="dxa"/>
            <w:vMerge w:val="restart"/>
            <w:noWrap/>
          </w:tcPr>
          <w:p w:rsidR="00EF395D" w:rsidRPr="00EF395D" w:rsidRDefault="00EF395D" w:rsidP="00D35A9F">
            <w:pPr>
              <w:jc w:val="cente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Milieu</w:t>
            </w:r>
          </w:p>
        </w:tc>
        <w:tc>
          <w:tcPr>
            <w:tcW w:w="3299" w:type="dxa"/>
            <w:gridSpan w:val="2"/>
            <w:noWrap/>
            <w:hideMark/>
          </w:tcPr>
          <w:p w:rsidR="00EF395D" w:rsidRPr="00EF395D" w:rsidRDefault="00EF395D" w:rsidP="00D35A9F">
            <w:pPr>
              <w:jc w:val="center"/>
              <w:cnfStyle w:val="1000000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Sexe</w:t>
            </w:r>
          </w:p>
        </w:tc>
        <w:tc>
          <w:tcPr>
            <w:tcW w:w="1389" w:type="dxa"/>
            <w:vMerge w:val="restart"/>
            <w:noWrap/>
            <w:hideMark/>
          </w:tcPr>
          <w:p w:rsidR="00EF395D" w:rsidRPr="00EF395D" w:rsidRDefault="00EF395D" w:rsidP="00D35A9F">
            <w:pPr>
              <w:jc w:val="center"/>
              <w:cnfStyle w:val="1000000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Total</w:t>
            </w:r>
          </w:p>
        </w:tc>
      </w:tr>
      <w:tr w:rsidR="00EF395D" w:rsidRPr="00EF395D" w:rsidTr="00D35A9F">
        <w:trPr>
          <w:cnfStyle w:val="000000100000"/>
          <w:trHeight w:val="324"/>
          <w:jc w:val="center"/>
        </w:trPr>
        <w:tc>
          <w:tcPr>
            <w:cnfStyle w:val="001000000000"/>
            <w:tcW w:w="2655" w:type="dxa"/>
            <w:vMerge/>
          </w:tcPr>
          <w:p w:rsidR="00EF395D" w:rsidRPr="00EF395D" w:rsidRDefault="00EF395D" w:rsidP="00D35A9F">
            <w:pPr>
              <w:rPr>
                <w:rFonts w:asciiTheme="majorBidi" w:eastAsia="Times New Roman" w:hAnsiTheme="majorBidi" w:cstheme="majorBidi"/>
                <w:color w:val="000000"/>
                <w:lang w:eastAsia="fr-FR"/>
              </w:rPr>
            </w:pPr>
          </w:p>
        </w:tc>
        <w:tc>
          <w:tcPr>
            <w:tcW w:w="1951" w:type="dxa"/>
            <w:noWrap/>
          </w:tcPr>
          <w:p w:rsidR="00EF395D" w:rsidRPr="00EF395D" w:rsidRDefault="00EF395D" w:rsidP="00D35A9F">
            <w:pPr>
              <w:jc w:val="center"/>
              <w:cnfStyle w:val="0000001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Masculin</w:t>
            </w:r>
          </w:p>
        </w:tc>
        <w:tc>
          <w:tcPr>
            <w:tcW w:w="1348" w:type="dxa"/>
            <w:noWrap/>
          </w:tcPr>
          <w:p w:rsidR="00EF395D" w:rsidRPr="00EF395D" w:rsidRDefault="00EF395D" w:rsidP="00D35A9F">
            <w:pPr>
              <w:jc w:val="center"/>
              <w:cnfStyle w:val="0000001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Féminin</w:t>
            </w:r>
          </w:p>
        </w:tc>
        <w:tc>
          <w:tcPr>
            <w:tcW w:w="1389" w:type="dxa"/>
            <w:vMerge/>
            <w:hideMark/>
          </w:tcPr>
          <w:p w:rsidR="00EF395D" w:rsidRPr="00EF395D" w:rsidRDefault="00EF395D" w:rsidP="00D35A9F">
            <w:pPr>
              <w:cnfStyle w:val="000000100000"/>
              <w:rPr>
                <w:rFonts w:asciiTheme="majorBidi" w:eastAsia="Times New Roman" w:hAnsiTheme="majorBidi" w:cstheme="majorBidi"/>
                <w:color w:val="000000"/>
                <w:lang w:eastAsia="fr-FR"/>
              </w:rPr>
            </w:pPr>
          </w:p>
        </w:tc>
      </w:tr>
      <w:tr w:rsidR="00EF395D" w:rsidRPr="00EF395D" w:rsidTr="00D35A9F">
        <w:trPr>
          <w:trHeight w:val="324"/>
          <w:jc w:val="center"/>
        </w:trPr>
        <w:tc>
          <w:tcPr>
            <w:cnfStyle w:val="001000000000"/>
            <w:tcW w:w="2655" w:type="dxa"/>
            <w:noWrap/>
          </w:tcPr>
          <w:p w:rsidR="00EF395D" w:rsidRPr="00EF395D" w:rsidRDefault="00EF395D" w:rsidP="00D35A9F">
            <w:pP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Urbain</w:t>
            </w:r>
          </w:p>
        </w:tc>
        <w:tc>
          <w:tcPr>
            <w:tcW w:w="1951"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66.72</w:t>
            </w:r>
          </w:p>
        </w:tc>
        <w:tc>
          <w:tcPr>
            <w:tcW w:w="1348"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75.49</w:t>
            </w:r>
          </w:p>
        </w:tc>
        <w:tc>
          <w:tcPr>
            <w:tcW w:w="1389"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71.40</w:t>
            </w:r>
          </w:p>
        </w:tc>
      </w:tr>
      <w:tr w:rsidR="00EF395D" w:rsidRPr="00EF395D" w:rsidTr="00D35A9F">
        <w:trPr>
          <w:cnfStyle w:val="000000100000"/>
          <w:trHeight w:val="324"/>
          <w:jc w:val="center"/>
        </w:trPr>
        <w:tc>
          <w:tcPr>
            <w:cnfStyle w:val="001000000000"/>
            <w:tcW w:w="2655" w:type="dxa"/>
            <w:noWrap/>
          </w:tcPr>
          <w:p w:rsidR="00EF395D" w:rsidRPr="00EF395D" w:rsidRDefault="00EF395D" w:rsidP="00D35A9F">
            <w:pP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Rural</w:t>
            </w:r>
          </w:p>
        </w:tc>
        <w:tc>
          <w:tcPr>
            <w:tcW w:w="1951" w:type="dxa"/>
            <w:noWrap/>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63.44</w:t>
            </w:r>
          </w:p>
        </w:tc>
        <w:tc>
          <w:tcPr>
            <w:tcW w:w="1348" w:type="dxa"/>
            <w:noWrap/>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68.99</w:t>
            </w:r>
          </w:p>
        </w:tc>
        <w:tc>
          <w:tcPr>
            <w:tcW w:w="1389" w:type="dxa"/>
            <w:noWrap/>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66.27</w:t>
            </w:r>
          </w:p>
        </w:tc>
      </w:tr>
      <w:tr w:rsidR="00EF395D" w:rsidRPr="00EF395D" w:rsidTr="00D35A9F">
        <w:trPr>
          <w:trHeight w:val="324"/>
          <w:jc w:val="center"/>
        </w:trPr>
        <w:tc>
          <w:tcPr>
            <w:cnfStyle w:val="001000000000"/>
            <w:tcW w:w="2655" w:type="dxa"/>
            <w:noWrap/>
          </w:tcPr>
          <w:p w:rsidR="00EF395D" w:rsidRPr="00EF395D" w:rsidRDefault="00EF395D" w:rsidP="00D35A9F">
            <w:pP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Total</w:t>
            </w:r>
          </w:p>
        </w:tc>
        <w:tc>
          <w:tcPr>
            <w:tcW w:w="1951"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65.12</w:t>
            </w:r>
          </w:p>
        </w:tc>
        <w:tc>
          <w:tcPr>
            <w:tcW w:w="1348"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72.47</w:t>
            </w:r>
          </w:p>
        </w:tc>
        <w:tc>
          <w:tcPr>
            <w:tcW w:w="1389"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68.96</w:t>
            </w:r>
          </w:p>
        </w:tc>
      </w:tr>
    </w:tbl>
    <w:p w:rsidR="00EF395D" w:rsidRPr="00EF395D" w:rsidRDefault="00EF395D" w:rsidP="00EF395D">
      <w:pPr>
        <w:pStyle w:val="Paragraphedeliste"/>
        <w:autoSpaceDE w:val="0"/>
        <w:autoSpaceDN w:val="0"/>
        <w:adjustRightInd w:val="0"/>
        <w:spacing w:after="100" w:afterAutospacing="1" w:line="360" w:lineRule="auto"/>
        <w:jc w:val="center"/>
        <w:rPr>
          <w:rFonts w:asciiTheme="majorBidi" w:hAnsiTheme="majorBidi" w:cstheme="majorBidi"/>
          <w:color w:val="000000"/>
          <w:sz w:val="24"/>
          <w:szCs w:val="24"/>
          <w:shd w:val="clear" w:color="auto" w:fill="FFFFFF"/>
        </w:rPr>
      </w:pPr>
      <w:r w:rsidRPr="00EF395D">
        <w:rPr>
          <w:rFonts w:asciiTheme="majorBidi" w:hAnsiTheme="majorBidi" w:cstheme="majorBidi"/>
          <w:color w:val="000000"/>
          <w:sz w:val="24"/>
          <w:szCs w:val="24"/>
          <w:shd w:val="clear" w:color="auto" w:fill="FFFFFF"/>
        </w:rPr>
        <w:t>Source : Traitements des auteurs à partir de l’ENPA 2006, HCP</w:t>
      </w:r>
    </w:p>
    <w:p w:rsidR="00EF395D" w:rsidRPr="00EF395D" w:rsidRDefault="00EF395D" w:rsidP="00EF395D">
      <w:pPr>
        <w:autoSpaceDE w:val="0"/>
        <w:autoSpaceDN w:val="0"/>
        <w:adjustRightInd w:val="0"/>
        <w:spacing w:before="240" w:after="0" w:line="360" w:lineRule="auto"/>
        <w:jc w:val="both"/>
        <w:rPr>
          <w:rFonts w:asciiTheme="majorBidi" w:hAnsiTheme="majorBidi" w:cstheme="majorBidi"/>
          <w:sz w:val="24"/>
          <w:szCs w:val="24"/>
        </w:rPr>
      </w:pPr>
      <w:r w:rsidRPr="00EF395D">
        <w:rPr>
          <w:rFonts w:asciiTheme="majorBidi" w:hAnsiTheme="majorBidi" w:cstheme="majorBidi"/>
          <w:sz w:val="24"/>
          <w:szCs w:val="24"/>
        </w:rPr>
        <w:t>L’évaluation de la santé par la dimension médicale renvoie aux différentes pathologies dont souffrent les personnes âgées. Nous allons l’appréhender ici par leur morbidité au cours des six derniers mois précédant l’enquête selon le sexe.</w:t>
      </w:r>
    </w:p>
    <w:p w:rsidR="00EF395D" w:rsidRPr="00EF395D" w:rsidRDefault="00EF395D" w:rsidP="00EF395D">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F395D">
        <w:rPr>
          <w:rFonts w:asciiTheme="majorBidi" w:hAnsiTheme="majorBidi" w:cstheme="majorBidi"/>
          <w:sz w:val="24"/>
          <w:szCs w:val="24"/>
        </w:rPr>
        <w:t>Les résultats consignés dans le tableau 5 font ressortir que le taux de morbidité des personnes âgées est estimé à l’échelle nationale à 69%. Par sexe, cette proportion atteint 65.1% chez les hommes et 72.5% chez les femmes. Au niveau spatial, le taux de morbidité est plus important en milieu urbain qu’en milieu rural, soit respectivement 71.4% et 66.3%. Cet écart peut être expliqué principalement par la disponibilité de l'infrastructure sanitaire dans les villes par rapport aux campagnes et par la perception de la maladie par ces personnes âgées. La maladie en milieu rural se confond généralement avec l’inactivité totale de la personne contrairement en milieu urbain.</w:t>
      </w:r>
    </w:p>
    <w:p w:rsidR="00EF395D" w:rsidRDefault="00EF395D" w:rsidP="00EF395D">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F395D">
        <w:rPr>
          <w:rFonts w:asciiTheme="majorBidi" w:hAnsiTheme="majorBidi" w:cstheme="majorBidi"/>
          <w:sz w:val="24"/>
          <w:szCs w:val="24"/>
        </w:rPr>
        <w:t xml:space="preserve">En mettant l’accent sur la  perception de l’individu sur son état de santé, il s’avère que, comparées aux personnes de leurs âges, 23.5% des personnes âgées affirment que leur état de santé est meilleur, 43.6% le déclarent comme similaire et 32.9% le perçoivent comme moins bon. </w:t>
      </w:r>
    </w:p>
    <w:p w:rsidR="00EF395D" w:rsidRPr="00EF395D" w:rsidRDefault="00EF395D" w:rsidP="00EF395D">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9" w:name="_Toc439810059"/>
      <w:r w:rsidRPr="00EF395D">
        <w:rPr>
          <w:rStyle w:val="Emphaseple"/>
          <w:rFonts w:asciiTheme="majorBidi" w:hAnsiTheme="majorBidi" w:cstheme="majorBidi"/>
          <w:b/>
          <w:bCs/>
          <w:color w:val="auto"/>
          <w:sz w:val="24"/>
          <w:szCs w:val="24"/>
        </w:rPr>
        <w:t>Tableau 7 : Perception de l’état de santé des personnes âgées selon le sexe</w:t>
      </w:r>
      <w:bookmarkEnd w:id="9"/>
    </w:p>
    <w:tbl>
      <w:tblPr>
        <w:tblStyle w:val="ListTable6Colorful-Accent31"/>
        <w:tblW w:w="7343" w:type="dxa"/>
        <w:jc w:val="center"/>
        <w:tblLook w:val="04A0"/>
      </w:tblPr>
      <w:tblGrid>
        <w:gridCol w:w="2655"/>
        <w:gridCol w:w="1951"/>
        <w:gridCol w:w="1348"/>
        <w:gridCol w:w="1389"/>
      </w:tblGrid>
      <w:tr w:rsidR="00EF395D" w:rsidRPr="00EF395D" w:rsidTr="00D35A9F">
        <w:trPr>
          <w:cnfStyle w:val="100000000000"/>
          <w:trHeight w:val="324"/>
          <w:jc w:val="center"/>
        </w:trPr>
        <w:tc>
          <w:tcPr>
            <w:cnfStyle w:val="001000000000"/>
            <w:tcW w:w="2655" w:type="dxa"/>
            <w:vMerge w:val="restart"/>
            <w:noWrap/>
          </w:tcPr>
          <w:p w:rsidR="00EF395D" w:rsidRPr="00EF395D" w:rsidRDefault="00EF395D" w:rsidP="00D35A9F">
            <w:pPr>
              <w:jc w:val="cente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État de santé</w:t>
            </w:r>
          </w:p>
        </w:tc>
        <w:tc>
          <w:tcPr>
            <w:tcW w:w="3299" w:type="dxa"/>
            <w:gridSpan w:val="2"/>
            <w:noWrap/>
            <w:hideMark/>
          </w:tcPr>
          <w:p w:rsidR="00EF395D" w:rsidRPr="00EF395D" w:rsidRDefault="00EF395D" w:rsidP="00D35A9F">
            <w:pPr>
              <w:jc w:val="center"/>
              <w:cnfStyle w:val="1000000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Sexe</w:t>
            </w:r>
          </w:p>
        </w:tc>
        <w:tc>
          <w:tcPr>
            <w:tcW w:w="1389" w:type="dxa"/>
            <w:vMerge w:val="restart"/>
            <w:noWrap/>
            <w:hideMark/>
          </w:tcPr>
          <w:p w:rsidR="00EF395D" w:rsidRPr="00EF395D" w:rsidRDefault="00EF395D" w:rsidP="00D35A9F">
            <w:pPr>
              <w:jc w:val="center"/>
              <w:cnfStyle w:val="1000000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Total</w:t>
            </w:r>
          </w:p>
        </w:tc>
      </w:tr>
      <w:tr w:rsidR="00EF395D" w:rsidRPr="00EF395D" w:rsidTr="00D35A9F">
        <w:trPr>
          <w:cnfStyle w:val="000000100000"/>
          <w:trHeight w:val="324"/>
          <w:jc w:val="center"/>
        </w:trPr>
        <w:tc>
          <w:tcPr>
            <w:cnfStyle w:val="001000000000"/>
            <w:tcW w:w="2655" w:type="dxa"/>
            <w:vMerge/>
          </w:tcPr>
          <w:p w:rsidR="00EF395D" w:rsidRPr="00EF395D" w:rsidRDefault="00EF395D" w:rsidP="00D35A9F">
            <w:pPr>
              <w:rPr>
                <w:rFonts w:asciiTheme="majorBidi" w:eastAsia="Times New Roman" w:hAnsiTheme="majorBidi" w:cstheme="majorBidi"/>
                <w:color w:val="000000"/>
                <w:lang w:eastAsia="fr-FR"/>
              </w:rPr>
            </w:pPr>
          </w:p>
        </w:tc>
        <w:tc>
          <w:tcPr>
            <w:tcW w:w="1951" w:type="dxa"/>
            <w:noWrap/>
          </w:tcPr>
          <w:p w:rsidR="00EF395D" w:rsidRPr="00EF395D" w:rsidRDefault="00EF395D" w:rsidP="00D35A9F">
            <w:pPr>
              <w:jc w:val="center"/>
              <w:cnfStyle w:val="0000001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Masculin</w:t>
            </w:r>
          </w:p>
        </w:tc>
        <w:tc>
          <w:tcPr>
            <w:tcW w:w="1348" w:type="dxa"/>
            <w:noWrap/>
          </w:tcPr>
          <w:p w:rsidR="00EF395D" w:rsidRPr="00EF395D" w:rsidRDefault="00EF395D" w:rsidP="00D35A9F">
            <w:pPr>
              <w:jc w:val="center"/>
              <w:cnfStyle w:val="000000100000"/>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Féminin</w:t>
            </w:r>
          </w:p>
        </w:tc>
        <w:tc>
          <w:tcPr>
            <w:tcW w:w="1389" w:type="dxa"/>
            <w:vMerge/>
            <w:hideMark/>
          </w:tcPr>
          <w:p w:rsidR="00EF395D" w:rsidRPr="00EF395D" w:rsidRDefault="00EF395D" w:rsidP="00D35A9F">
            <w:pPr>
              <w:cnfStyle w:val="000000100000"/>
              <w:rPr>
                <w:rFonts w:asciiTheme="majorBidi" w:eastAsia="Times New Roman" w:hAnsiTheme="majorBidi" w:cstheme="majorBidi"/>
                <w:color w:val="000000"/>
                <w:lang w:eastAsia="fr-FR"/>
              </w:rPr>
            </w:pPr>
          </w:p>
        </w:tc>
      </w:tr>
      <w:tr w:rsidR="00EF395D" w:rsidRPr="00EF395D" w:rsidTr="00D35A9F">
        <w:trPr>
          <w:trHeight w:val="324"/>
          <w:jc w:val="center"/>
        </w:trPr>
        <w:tc>
          <w:tcPr>
            <w:cnfStyle w:val="001000000000"/>
            <w:tcW w:w="2655" w:type="dxa"/>
            <w:noWrap/>
          </w:tcPr>
          <w:p w:rsidR="00EF395D" w:rsidRPr="00EF395D" w:rsidRDefault="00EF395D" w:rsidP="00D35A9F">
            <w:pP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Meilleur</w:t>
            </w:r>
          </w:p>
        </w:tc>
        <w:tc>
          <w:tcPr>
            <w:tcW w:w="1951"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29.43</w:t>
            </w:r>
          </w:p>
        </w:tc>
        <w:tc>
          <w:tcPr>
            <w:tcW w:w="1348"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18.01</w:t>
            </w:r>
          </w:p>
        </w:tc>
        <w:tc>
          <w:tcPr>
            <w:tcW w:w="1389"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23.47</w:t>
            </w:r>
          </w:p>
        </w:tc>
      </w:tr>
      <w:tr w:rsidR="00EF395D" w:rsidRPr="00EF395D" w:rsidTr="00D35A9F">
        <w:trPr>
          <w:cnfStyle w:val="000000100000"/>
          <w:trHeight w:val="324"/>
          <w:jc w:val="center"/>
        </w:trPr>
        <w:tc>
          <w:tcPr>
            <w:cnfStyle w:val="001000000000"/>
            <w:tcW w:w="2655" w:type="dxa"/>
            <w:noWrap/>
          </w:tcPr>
          <w:p w:rsidR="00EF395D" w:rsidRPr="00EF395D" w:rsidRDefault="00EF395D" w:rsidP="00D35A9F">
            <w:pP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Similaire</w:t>
            </w:r>
          </w:p>
        </w:tc>
        <w:tc>
          <w:tcPr>
            <w:tcW w:w="1951" w:type="dxa"/>
            <w:noWrap/>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42.82</w:t>
            </w:r>
          </w:p>
        </w:tc>
        <w:tc>
          <w:tcPr>
            <w:tcW w:w="1348" w:type="dxa"/>
            <w:noWrap/>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44.32</w:t>
            </w:r>
          </w:p>
        </w:tc>
        <w:tc>
          <w:tcPr>
            <w:tcW w:w="1389" w:type="dxa"/>
            <w:noWrap/>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43.60</w:t>
            </w:r>
          </w:p>
        </w:tc>
      </w:tr>
      <w:tr w:rsidR="00EF395D" w:rsidRPr="00EF395D" w:rsidTr="00D35A9F">
        <w:trPr>
          <w:trHeight w:val="324"/>
          <w:jc w:val="center"/>
        </w:trPr>
        <w:tc>
          <w:tcPr>
            <w:cnfStyle w:val="001000000000"/>
            <w:tcW w:w="2655" w:type="dxa"/>
            <w:noWrap/>
          </w:tcPr>
          <w:p w:rsidR="00EF395D" w:rsidRPr="00EF395D" w:rsidRDefault="00EF395D" w:rsidP="00D35A9F">
            <w:pPr>
              <w:rPr>
                <w:rFonts w:asciiTheme="majorBidi" w:eastAsia="Times New Roman" w:hAnsiTheme="majorBidi" w:cstheme="majorBidi"/>
                <w:color w:val="000000"/>
                <w:lang w:eastAsia="fr-FR"/>
              </w:rPr>
            </w:pPr>
            <w:r w:rsidRPr="00EF395D">
              <w:rPr>
                <w:rFonts w:asciiTheme="majorBidi" w:eastAsia="Times New Roman" w:hAnsiTheme="majorBidi" w:cstheme="majorBidi"/>
                <w:color w:val="000000"/>
                <w:lang w:eastAsia="fr-FR"/>
              </w:rPr>
              <w:t>Moindre</w:t>
            </w:r>
          </w:p>
        </w:tc>
        <w:tc>
          <w:tcPr>
            <w:tcW w:w="1951"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27.75</w:t>
            </w:r>
          </w:p>
        </w:tc>
        <w:tc>
          <w:tcPr>
            <w:tcW w:w="1348"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37.66</w:t>
            </w:r>
          </w:p>
        </w:tc>
        <w:tc>
          <w:tcPr>
            <w:tcW w:w="1389" w:type="dxa"/>
            <w:noWrap/>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32.93</w:t>
            </w:r>
          </w:p>
        </w:tc>
      </w:tr>
    </w:tbl>
    <w:p w:rsidR="00EF395D" w:rsidRPr="00EF395D" w:rsidRDefault="00EF395D" w:rsidP="00EF395D">
      <w:pPr>
        <w:pStyle w:val="Paragraphedeliste"/>
        <w:autoSpaceDE w:val="0"/>
        <w:autoSpaceDN w:val="0"/>
        <w:adjustRightInd w:val="0"/>
        <w:spacing w:after="100" w:afterAutospacing="1" w:line="360" w:lineRule="auto"/>
        <w:jc w:val="center"/>
        <w:rPr>
          <w:rFonts w:asciiTheme="majorBidi" w:hAnsiTheme="majorBidi" w:cstheme="majorBidi"/>
        </w:rPr>
      </w:pPr>
      <w:r w:rsidRPr="00EF395D">
        <w:rPr>
          <w:rFonts w:asciiTheme="majorBidi" w:hAnsiTheme="majorBidi" w:cstheme="majorBidi"/>
          <w:color w:val="000000"/>
          <w:sz w:val="24"/>
          <w:szCs w:val="24"/>
          <w:shd w:val="clear" w:color="auto" w:fill="FFFFFF"/>
        </w:rPr>
        <w:t>Source : Traitements des auteurs à partir de l’ENPA 2006, HCP</w:t>
      </w:r>
    </w:p>
    <w:p w:rsidR="000C68A9" w:rsidRPr="00EF395D" w:rsidRDefault="00EF395D" w:rsidP="00EF395D">
      <w:pPr>
        <w:autoSpaceDE w:val="0"/>
        <w:autoSpaceDN w:val="0"/>
        <w:adjustRightInd w:val="0"/>
        <w:spacing w:after="100" w:afterAutospacing="1" w:line="360" w:lineRule="auto"/>
        <w:jc w:val="both"/>
        <w:rPr>
          <w:rFonts w:asciiTheme="majorBidi" w:hAnsiTheme="majorBidi" w:cstheme="majorBidi"/>
          <w:sz w:val="24"/>
          <w:szCs w:val="24"/>
        </w:rPr>
      </w:pPr>
      <w:r w:rsidRPr="00EF395D">
        <w:rPr>
          <w:rFonts w:asciiTheme="majorBidi" w:hAnsiTheme="majorBidi" w:cstheme="majorBidi"/>
          <w:sz w:val="24"/>
          <w:szCs w:val="24"/>
        </w:rPr>
        <w:t>La ventilation selon le sexe montre un écart considérable : 29.4% des hommes déclarent être en meilleure santé contre seulement 18.0% pour les femmes. Ces dernières ont tendance, plus que les hommes, à porter un jugement négatif sur leur santé et sur leur capacité fonctionnelle.</w:t>
      </w:r>
    </w:p>
    <w:p w:rsidR="005953AD" w:rsidRDefault="00682ADA" w:rsidP="005953AD">
      <w:pPr>
        <w:pStyle w:val="Titre2"/>
        <w:spacing w:after="100" w:afterAutospacing="1"/>
        <w:rPr>
          <w:rFonts w:asciiTheme="majorBidi" w:hAnsiTheme="majorBidi"/>
          <w:b/>
          <w:bCs/>
          <w:color w:val="auto"/>
        </w:rPr>
      </w:pPr>
      <w:r>
        <w:rPr>
          <w:rFonts w:asciiTheme="majorBidi" w:hAnsiTheme="majorBidi"/>
          <w:b/>
          <w:bCs/>
          <w:color w:val="auto"/>
        </w:rPr>
        <w:lastRenderedPageBreak/>
        <w:t>III</w:t>
      </w:r>
      <w:r w:rsidR="005953AD" w:rsidRPr="00C176C0">
        <w:rPr>
          <w:rFonts w:asciiTheme="majorBidi" w:hAnsiTheme="majorBidi"/>
          <w:b/>
          <w:bCs/>
          <w:color w:val="auto"/>
        </w:rPr>
        <w:t>.</w:t>
      </w:r>
      <w:r w:rsidR="00400556">
        <w:rPr>
          <w:rFonts w:asciiTheme="majorBidi" w:hAnsiTheme="majorBidi"/>
          <w:b/>
          <w:bCs/>
          <w:color w:val="auto"/>
        </w:rPr>
        <w:t>3</w:t>
      </w:r>
      <w:r w:rsidR="005953AD">
        <w:rPr>
          <w:rFonts w:asciiTheme="majorBidi" w:hAnsiTheme="majorBidi"/>
          <w:b/>
          <w:bCs/>
          <w:color w:val="auto"/>
        </w:rPr>
        <w:t>.Place des personnes âgées dans la structure familiale au Maroc</w:t>
      </w:r>
    </w:p>
    <w:p w:rsidR="00EF395D" w:rsidRDefault="00EF395D" w:rsidP="00EF395D">
      <w:pPr>
        <w:spacing w:before="100" w:beforeAutospacing="1" w:after="100" w:afterAutospacing="1" w:line="360" w:lineRule="auto"/>
        <w:jc w:val="both"/>
        <w:rPr>
          <w:rFonts w:asciiTheme="majorBidi" w:hAnsiTheme="majorBidi" w:cstheme="majorBidi"/>
          <w:sz w:val="24"/>
          <w:szCs w:val="24"/>
        </w:rPr>
      </w:pPr>
      <w:r w:rsidRPr="00EF395D">
        <w:rPr>
          <w:rFonts w:asciiTheme="majorBidi" w:hAnsiTheme="majorBidi" w:cstheme="majorBidi"/>
          <w:sz w:val="24"/>
          <w:szCs w:val="24"/>
        </w:rPr>
        <w:t>Au Maroc, la famille élargie a longtemps été considérée comme la clé de voûte de la société. Elle assurait la cohésion sociale et l’intégration des individus. En effet vivre avec d’autres membres de sa famille – le plus souvent les enfants et les petits-enfants – permet dans une certaine mesure de se prémunir contre les conséquences des méfaits de l’âge et favorise les rapports d’entraide et d’échanges entre groupes domestiques.</w:t>
      </w:r>
    </w:p>
    <w:p w:rsidR="00E07DA2" w:rsidRPr="00E07DA2" w:rsidRDefault="00E07DA2" w:rsidP="00E07DA2">
      <w:pPr>
        <w:pStyle w:val="Titre3"/>
        <w:numPr>
          <w:ilvl w:val="0"/>
          <w:numId w:val="5"/>
        </w:numPr>
        <w:spacing w:after="100" w:afterAutospacing="1"/>
        <w:rPr>
          <w:rFonts w:asciiTheme="majorBidi" w:hAnsiTheme="majorBidi"/>
          <w:b/>
          <w:bCs/>
          <w:i/>
          <w:iCs/>
          <w:color w:val="auto"/>
        </w:rPr>
      </w:pPr>
      <w:r>
        <w:rPr>
          <w:rFonts w:asciiTheme="majorBidi" w:hAnsiTheme="majorBidi"/>
          <w:b/>
          <w:bCs/>
          <w:i/>
          <w:iCs/>
          <w:color w:val="auto"/>
        </w:rPr>
        <w:t>Répartition selon la structure des ménages</w:t>
      </w:r>
    </w:p>
    <w:p w:rsidR="00EF395D" w:rsidRPr="00EF395D" w:rsidRDefault="00EF395D" w:rsidP="00EF395D">
      <w:pPr>
        <w:spacing w:line="360" w:lineRule="auto"/>
        <w:jc w:val="both"/>
        <w:rPr>
          <w:rFonts w:asciiTheme="majorBidi" w:hAnsiTheme="majorBidi" w:cstheme="majorBidi"/>
          <w:sz w:val="24"/>
          <w:szCs w:val="24"/>
        </w:rPr>
      </w:pPr>
      <w:r w:rsidRPr="00EF395D">
        <w:rPr>
          <w:rFonts w:asciiTheme="majorBidi" w:hAnsiTheme="majorBidi" w:cstheme="majorBidi"/>
          <w:sz w:val="24"/>
          <w:szCs w:val="24"/>
        </w:rPr>
        <w:t>Selon les résultats de l’enquête, un peu plus de la moitié (54.7%) des personnes âgées vivent dans des ménages composés, 62.4% en milieu rural et 47.7% en milieu urbain. La seconde typologie dominante est celle des personnes âgées vivant  avec le conjoint et les enfants (23.3%) qui est plus forte en milieu urbain (24.6%). Les parts des personnes vivant seules, ou avec leur conjoint uniquement, ou encore avec leur(s) enfant(s) sont très faibles et ne dépassent pas 8%.</w:t>
      </w:r>
    </w:p>
    <w:p w:rsidR="00EF395D" w:rsidRPr="00EF395D" w:rsidRDefault="00EF395D" w:rsidP="00EF395D">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10" w:name="_Toc435217205"/>
      <w:r>
        <w:rPr>
          <w:rStyle w:val="Emphaseple"/>
          <w:rFonts w:asciiTheme="majorBidi" w:hAnsiTheme="majorBidi" w:cstheme="majorBidi"/>
          <w:b/>
          <w:bCs/>
          <w:color w:val="auto"/>
          <w:sz w:val="24"/>
          <w:szCs w:val="24"/>
        </w:rPr>
        <w:t>Tableau 8</w:t>
      </w:r>
      <w:r w:rsidRPr="00EF395D">
        <w:rPr>
          <w:rStyle w:val="Emphaseple"/>
          <w:rFonts w:asciiTheme="majorBidi" w:hAnsiTheme="majorBidi" w:cstheme="majorBidi"/>
          <w:b/>
          <w:bCs/>
          <w:color w:val="auto"/>
          <w:sz w:val="24"/>
          <w:szCs w:val="24"/>
        </w:rPr>
        <w:t>:</w:t>
      </w:r>
      <w:r w:rsidR="00D01210">
        <w:rPr>
          <w:rStyle w:val="Emphaseple"/>
          <w:rFonts w:asciiTheme="majorBidi" w:hAnsiTheme="majorBidi" w:cstheme="majorBidi"/>
          <w:b/>
          <w:bCs/>
          <w:color w:val="auto"/>
          <w:sz w:val="24"/>
          <w:szCs w:val="24"/>
        </w:rPr>
        <w:t xml:space="preserve"> R</w:t>
      </w:r>
      <w:r w:rsidRPr="00EF395D">
        <w:rPr>
          <w:rStyle w:val="Emphaseple"/>
          <w:rFonts w:asciiTheme="majorBidi" w:hAnsiTheme="majorBidi" w:cstheme="majorBidi"/>
          <w:b/>
          <w:bCs/>
          <w:color w:val="auto"/>
          <w:sz w:val="24"/>
          <w:szCs w:val="24"/>
        </w:rPr>
        <w:t>épartition des personnes âgées selon le type de ménage et le milieu de résidence</w:t>
      </w:r>
      <w:bookmarkEnd w:id="10"/>
    </w:p>
    <w:tbl>
      <w:tblPr>
        <w:tblStyle w:val="ListTable6Colorful-Accent31"/>
        <w:tblW w:w="8975" w:type="dxa"/>
        <w:jc w:val="center"/>
        <w:tblLook w:val="04A0"/>
      </w:tblPr>
      <w:tblGrid>
        <w:gridCol w:w="3164"/>
        <w:gridCol w:w="1937"/>
        <w:gridCol w:w="1937"/>
        <w:gridCol w:w="1937"/>
      </w:tblGrid>
      <w:tr w:rsidR="00EF395D" w:rsidRPr="00EF395D" w:rsidTr="006F09EF">
        <w:trPr>
          <w:cnfStyle w:val="100000000000"/>
          <w:trHeight w:val="218"/>
          <w:jc w:val="center"/>
        </w:trPr>
        <w:tc>
          <w:tcPr>
            <w:cnfStyle w:val="001000000000"/>
            <w:tcW w:w="3164" w:type="dxa"/>
            <w:noWrap/>
            <w:hideMark/>
          </w:tcPr>
          <w:p w:rsidR="00EF395D" w:rsidRPr="00EF395D" w:rsidRDefault="00EF395D" w:rsidP="00EF395D">
            <w:pPr>
              <w:jc w:val="center"/>
              <w:rPr>
                <w:rFonts w:asciiTheme="majorBidi" w:eastAsia="Times New Roman" w:hAnsiTheme="majorBidi" w:cstheme="majorBidi"/>
                <w:color w:val="000000"/>
                <w:lang w:eastAsia="fr-FR"/>
              </w:rPr>
            </w:pPr>
          </w:p>
        </w:tc>
        <w:tc>
          <w:tcPr>
            <w:tcW w:w="1937" w:type="dxa"/>
            <w:noWrap/>
            <w:hideMark/>
          </w:tcPr>
          <w:p w:rsidR="00EF395D" w:rsidRPr="00EF395D" w:rsidRDefault="00EF395D" w:rsidP="00D35A9F">
            <w:pPr>
              <w:jc w:val="center"/>
              <w:cnfStyle w:val="1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Urbain</w:t>
            </w:r>
          </w:p>
        </w:tc>
        <w:tc>
          <w:tcPr>
            <w:tcW w:w="1937" w:type="dxa"/>
            <w:noWrap/>
            <w:hideMark/>
          </w:tcPr>
          <w:p w:rsidR="00EF395D" w:rsidRPr="00EF395D" w:rsidRDefault="00EF395D" w:rsidP="00D35A9F">
            <w:pPr>
              <w:jc w:val="center"/>
              <w:cnfStyle w:val="1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Rural</w:t>
            </w:r>
          </w:p>
        </w:tc>
        <w:tc>
          <w:tcPr>
            <w:tcW w:w="1937" w:type="dxa"/>
            <w:noWrap/>
            <w:hideMark/>
          </w:tcPr>
          <w:p w:rsidR="00EF395D" w:rsidRPr="00EF395D" w:rsidRDefault="00EF395D" w:rsidP="00D35A9F">
            <w:pPr>
              <w:jc w:val="center"/>
              <w:cnfStyle w:val="1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Total</w:t>
            </w:r>
          </w:p>
        </w:tc>
      </w:tr>
      <w:tr w:rsidR="006F09EF" w:rsidRPr="00EF395D" w:rsidTr="006F09EF">
        <w:trPr>
          <w:cnfStyle w:val="000000100000"/>
          <w:trHeight w:val="260"/>
          <w:jc w:val="center"/>
        </w:trPr>
        <w:tc>
          <w:tcPr>
            <w:cnfStyle w:val="001000000000"/>
            <w:tcW w:w="3164" w:type="dxa"/>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Ménage individuel</w:t>
            </w:r>
            <w:r w:rsidRPr="00EF395D">
              <w:rPr>
                <w:rStyle w:val="Appelnotedebasdep"/>
                <w:rFonts w:asciiTheme="majorBidi" w:eastAsia="Times New Roman" w:hAnsiTheme="majorBidi" w:cstheme="majorBidi"/>
                <w:color w:val="000000"/>
              </w:rPr>
              <w:footnoteReference w:id="4"/>
            </w:r>
          </w:p>
        </w:tc>
        <w:tc>
          <w:tcPr>
            <w:tcW w:w="1937" w:type="dxa"/>
            <w:noWrap/>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8.86</w:t>
            </w:r>
          </w:p>
        </w:tc>
        <w:tc>
          <w:tcPr>
            <w:tcW w:w="1937" w:type="dxa"/>
            <w:noWrap/>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4.41</w:t>
            </w:r>
          </w:p>
        </w:tc>
        <w:tc>
          <w:tcPr>
            <w:tcW w:w="1937" w:type="dxa"/>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6.74</w:t>
            </w:r>
          </w:p>
        </w:tc>
      </w:tr>
      <w:tr w:rsidR="00EF395D" w:rsidRPr="00EF395D" w:rsidTr="006F09EF">
        <w:trPr>
          <w:trHeight w:val="248"/>
          <w:jc w:val="center"/>
        </w:trPr>
        <w:tc>
          <w:tcPr>
            <w:cnfStyle w:val="001000000000"/>
            <w:tcW w:w="3164" w:type="dxa"/>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Ménage Nucléaire Incomplet</w:t>
            </w:r>
            <w:r w:rsidRPr="00EF395D">
              <w:rPr>
                <w:rStyle w:val="Appelnotedebasdep"/>
                <w:rFonts w:asciiTheme="majorBidi" w:eastAsia="Times New Roman" w:hAnsiTheme="majorBidi" w:cstheme="majorBidi"/>
                <w:color w:val="000000"/>
              </w:rPr>
              <w:footnoteReference w:id="5"/>
            </w:r>
          </w:p>
        </w:tc>
        <w:tc>
          <w:tcPr>
            <w:tcW w:w="1937" w:type="dxa"/>
            <w:noWrap/>
            <w:hideMark/>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8.47</w:t>
            </w:r>
          </w:p>
        </w:tc>
        <w:tc>
          <w:tcPr>
            <w:tcW w:w="1937" w:type="dxa"/>
            <w:noWrap/>
            <w:hideMark/>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5.47</w:t>
            </w:r>
          </w:p>
        </w:tc>
        <w:tc>
          <w:tcPr>
            <w:tcW w:w="1937" w:type="dxa"/>
            <w:hideMark/>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7.04</w:t>
            </w:r>
          </w:p>
        </w:tc>
      </w:tr>
      <w:tr w:rsidR="006F09EF" w:rsidRPr="00EF395D" w:rsidTr="006F09EF">
        <w:trPr>
          <w:cnfStyle w:val="000000100000"/>
          <w:trHeight w:val="225"/>
          <w:jc w:val="center"/>
        </w:trPr>
        <w:tc>
          <w:tcPr>
            <w:cnfStyle w:val="001000000000"/>
            <w:tcW w:w="3164" w:type="dxa"/>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Ménage Nucléaire Complet</w:t>
            </w:r>
            <w:r w:rsidRPr="00EF395D">
              <w:rPr>
                <w:rStyle w:val="Appelnotedebasdep"/>
                <w:rFonts w:asciiTheme="majorBidi" w:eastAsia="Times New Roman" w:hAnsiTheme="majorBidi" w:cstheme="majorBidi"/>
                <w:color w:val="000000"/>
              </w:rPr>
              <w:footnoteReference w:id="6"/>
            </w:r>
          </w:p>
        </w:tc>
        <w:tc>
          <w:tcPr>
            <w:tcW w:w="1937" w:type="dxa"/>
            <w:noWrap/>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24.61</w:t>
            </w:r>
          </w:p>
        </w:tc>
        <w:tc>
          <w:tcPr>
            <w:tcW w:w="1937" w:type="dxa"/>
            <w:noWrap/>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21.91</w:t>
            </w:r>
          </w:p>
        </w:tc>
        <w:tc>
          <w:tcPr>
            <w:tcW w:w="1937" w:type="dxa"/>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23.32</w:t>
            </w:r>
          </w:p>
        </w:tc>
      </w:tr>
      <w:tr w:rsidR="00EF395D" w:rsidRPr="00EF395D" w:rsidTr="006F09EF">
        <w:trPr>
          <w:trHeight w:val="229"/>
          <w:jc w:val="center"/>
        </w:trPr>
        <w:tc>
          <w:tcPr>
            <w:cnfStyle w:val="001000000000"/>
            <w:tcW w:w="3164" w:type="dxa"/>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Ménage Monoparental</w:t>
            </w:r>
            <w:r w:rsidRPr="00EF395D">
              <w:rPr>
                <w:rStyle w:val="Appelnotedebasdep"/>
                <w:rFonts w:asciiTheme="majorBidi" w:eastAsia="Times New Roman" w:hAnsiTheme="majorBidi" w:cstheme="majorBidi"/>
                <w:color w:val="000000"/>
              </w:rPr>
              <w:footnoteReference w:id="7"/>
            </w:r>
          </w:p>
        </w:tc>
        <w:tc>
          <w:tcPr>
            <w:tcW w:w="1937" w:type="dxa"/>
            <w:noWrap/>
            <w:hideMark/>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10.33</w:t>
            </w:r>
          </w:p>
        </w:tc>
        <w:tc>
          <w:tcPr>
            <w:tcW w:w="1937" w:type="dxa"/>
            <w:noWrap/>
            <w:hideMark/>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5.78</w:t>
            </w:r>
          </w:p>
        </w:tc>
        <w:tc>
          <w:tcPr>
            <w:tcW w:w="1937" w:type="dxa"/>
            <w:hideMark/>
          </w:tcPr>
          <w:p w:rsidR="00EF395D" w:rsidRPr="00EF395D" w:rsidRDefault="00EF395D" w:rsidP="00D35A9F">
            <w:pPr>
              <w:jc w:val="cente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8.16</w:t>
            </w:r>
          </w:p>
        </w:tc>
      </w:tr>
      <w:tr w:rsidR="006F09EF" w:rsidRPr="00EF395D" w:rsidTr="006F09EF">
        <w:trPr>
          <w:cnfStyle w:val="000000100000"/>
          <w:trHeight w:val="220"/>
          <w:jc w:val="center"/>
        </w:trPr>
        <w:tc>
          <w:tcPr>
            <w:cnfStyle w:val="001000000000"/>
            <w:tcW w:w="3164" w:type="dxa"/>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Ménage composé</w:t>
            </w:r>
            <w:r w:rsidRPr="00EF395D">
              <w:rPr>
                <w:rStyle w:val="Appelnotedebasdep"/>
                <w:rFonts w:asciiTheme="majorBidi" w:eastAsia="Times New Roman" w:hAnsiTheme="majorBidi" w:cstheme="majorBidi"/>
                <w:color w:val="000000"/>
              </w:rPr>
              <w:footnoteReference w:id="8"/>
            </w:r>
          </w:p>
        </w:tc>
        <w:tc>
          <w:tcPr>
            <w:tcW w:w="1937" w:type="dxa"/>
            <w:noWrap/>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47.73</w:t>
            </w:r>
          </w:p>
        </w:tc>
        <w:tc>
          <w:tcPr>
            <w:tcW w:w="1937" w:type="dxa"/>
            <w:noWrap/>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62.43</w:t>
            </w:r>
          </w:p>
        </w:tc>
        <w:tc>
          <w:tcPr>
            <w:tcW w:w="1937" w:type="dxa"/>
            <w:hideMark/>
          </w:tcPr>
          <w:p w:rsidR="00EF395D" w:rsidRPr="00EF395D" w:rsidRDefault="00EF395D" w:rsidP="00D35A9F">
            <w:pPr>
              <w:jc w:val="cente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54.73</w:t>
            </w:r>
          </w:p>
        </w:tc>
      </w:tr>
    </w:tbl>
    <w:p w:rsidR="00EF395D" w:rsidRPr="00EF395D" w:rsidRDefault="00EF395D" w:rsidP="00EF395D">
      <w:pPr>
        <w:autoSpaceDE w:val="0"/>
        <w:autoSpaceDN w:val="0"/>
        <w:adjustRightInd w:val="0"/>
        <w:spacing w:after="0" w:line="240" w:lineRule="auto"/>
        <w:rPr>
          <w:rFonts w:asciiTheme="majorBidi" w:hAnsiTheme="majorBidi" w:cstheme="majorBidi"/>
        </w:rPr>
      </w:pPr>
      <w:r w:rsidRPr="00EF395D">
        <w:rPr>
          <w:rFonts w:asciiTheme="majorBidi" w:hAnsiTheme="majorBidi" w:cstheme="majorBidi"/>
        </w:rPr>
        <w:t>Source : Traitements effectués par les auteurs à partir des données de l’ENPA 2006, HCP.</w:t>
      </w:r>
    </w:p>
    <w:p w:rsidR="00EF395D" w:rsidRPr="00EF395D" w:rsidRDefault="00EF395D" w:rsidP="00EF395D">
      <w:pPr>
        <w:spacing w:before="240" w:after="240" w:line="360" w:lineRule="auto"/>
        <w:jc w:val="both"/>
        <w:rPr>
          <w:rFonts w:asciiTheme="majorBidi" w:hAnsiTheme="majorBidi" w:cstheme="majorBidi"/>
          <w:sz w:val="24"/>
          <w:szCs w:val="24"/>
        </w:rPr>
      </w:pPr>
      <w:r w:rsidRPr="00EF395D">
        <w:rPr>
          <w:rFonts w:asciiTheme="majorBidi" w:hAnsiTheme="majorBidi" w:cstheme="majorBidi"/>
          <w:sz w:val="24"/>
          <w:szCs w:val="24"/>
        </w:rPr>
        <w:t>À noter que la cohabitation familiale intergénérationnelle peut avoir plusieurs modalités. Elle peut signifier que c'est l'enfant adulte (marié) qui héberge un de ses parents (père ou mère) âgé. Dans ce cas, c'est souvent une re-cohabitation. Mais la cohabitation peut également signifier que ce sont les parents âgés qui hébergent des enfants mineurs et/ou majeurs (mariés ou non mariés). Parfois, c'est un parent âgé qui héberge à lui seul ses enfants en bas-âge et, dans ce cas, c'est souvent la mère. Dans le tableau ci-dessous, 93.9% des hommes âgés sont des chefs de ménage alors que seulement 37.2% des femmes âgées le sont.</w:t>
      </w:r>
    </w:p>
    <w:p w:rsidR="00EF395D" w:rsidRPr="00D01210" w:rsidRDefault="00D01210" w:rsidP="00D01210">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11" w:name="_Toc435217206"/>
      <w:r>
        <w:rPr>
          <w:rStyle w:val="Emphaseple"/>
          <w:rFonts w:asciiTheme="majorBidi" w:hAnsiTheme="majorBidi" w:cstheme="majorBidi"/>
          <w:b/>
          <w:bCs/>
          <w:color w:val="auto"/>
          <w:sz w:val="24"/>
          <w:szCs w:val="24"/>
        </w:rPr>
        <w:lastRenderedPageBreak/>
        <w:t>Tableau 9</w:t>
      </w:r>
      <w:r w:rsidR="00EF395D" w:rsidRPr="00D01210">
        <w:rPr>
          <w:rStyle w:val="Emphaseple"/>
          <w:rFonts w:asciiTheme="majorBidi" w:hAnsiTheme="majorBidi" w:cstheme="majorBidi"/>
          <w:b/>
          <w:bCs/>
          <w:color w:val="auto"/>
          <w:sz w:val="24"/>
          <w:szCs w:val="24"/>
        </w:rPr>
        <w:t>:</w:t>
      </w:r>
      <w:r w:rsidR="009E1CC9">
        <w:rPr>
          <w:rStyle w:val="Emphaseple"/>
          <w:rFonts w:asciiTheme="majorBidi" w:hAnsiTheme="majorBidi" w:cstheme="majorBidi"/>
          <w:b/>
          <w:bCs/>
          <w:color w:val="auto"/>
          <w:sz w:val="24"/>
          <w:szCs w:val="24"/>
        </w:rPr>
        <w:t xml:space="preserve"> R</w:t>
      </w:r>
      <w:r w:rsidR="00EF395D" w:rsidRPr="00D01210">
        <w:rPr>
          <w:rStyle w:val="Emphaseple"/>
          <w:rFonts w:asciiTheme="majorBidi" w:hAnsiTheme="majorBidi" w:cstheme="majorBidi"/>
          <w:b/>
          <w:bCs/>
          <w:color w:val="auto"/>
          <w:sz w:val="24"/>
          <w:szCs w:val="24"/>
        </w:rPr>
        <w:t>épartition des personnes âgées chefs de ménage selon le sexe et le milieu de résidence</w:t>
      </w:r>
      <w:bookmarkEnd w:id="11"/>
    </w:p>
    <w:tbl>
      <w:tblPr>
        <w:tblStyle w:val="ListTable6Colorful-Accent31"/>
        <w:tblW w:w="9060" w:type="dxa"/>
        <w:tblLook w:val="04A0"/>
      </w:tblPr>
      <w:tblGrid>
        <w:gridCol w:w="2265"/>
        <w:gridCol w:w="2265"/>
        <w:gridCol w:w="2265"/>
        <w:gridCol w:w="2265"/>
      </w:tblGrid>
      <w:tr w:rsidR="00EF395D" w:rsidRPr="00EF395D" w:rsidTr="00D01210">
        <w:trPr>
          <w:cnfStyle w:val="100000000000"/>
          <w:trHeight w:val="201"/>
        </w:trPr>
        <w:tc>
          <w:tcPr>
            <w:cnfStyle w:val="001000000000"/>
            <w:tcW w:w="2265" w:type="dxa"/>
            <w:noWrap/>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 </w:t>
            </w:r>
          </w:p>
        </w:tc>
        <w:tc>
          <w:tcPr>
            <w:tcW w:w="2265" w:type="dxa"/>
            <w:noWrap/>
            <w:hideMark/>
          </w:tcPr>
          <w:p w:rsidR="00EF395D" w:rsidRPr="00EF395D" w:rsidRDefault="00EF395D" w:rsidP="00D35A9F">
            <w:pPr>
              <w:cnfStyle w:val="1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Urbain</w:t>
            </w:r>
          </w:p>
        </w:tc>
        <w:tc>
          <w:tcPr>
            <w:tcW w:w="2265" w:type="dxa"/>
            <w:noWrap/>
            <w:hideMark/>
          </w:tcPr>
          <w:p w:rsidR="00EF395D" w:rsidRPr="00EF395D" w:rsidRDefault="00EF395D" w:rsidP="00D35A9F">
            <w:pPr>
              <w:cnfStyle w:val="1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Rural</w:t>
            </w:r>
          </w:p>
        </w:tc>
        <w:tc>
          <w:tcPr>
            <w:tcW w:w="2265" w:type="dxa"/>
            <w:noWrap/>
            <w:hideMark/>
          </w:tcPr>
          <w:p w:rsidR="00EF395D" w:rsidRPr="00EF395D" w:rsidRDefault="00EF395D" w:rsidP="00D35A9F">
            <w:pPr>
              <w:cnfStyle w:val="1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Total</w:t>
            </w:r>
          </w:p>
        </w:tc>
      </w:tr>
      <w:tr w:rsidR="00EF395D" w:rsidRPr="00EF395D" w:rsidTr="00D01210">
        <w:trPr>
          <w:cnfStyle w:val="000000100000"/>
          <w:trHeight w:val="224"/>
        </w:trPr>
        <w:tc>
          <w:tcPr>
            <w:cnfStyle w:val="001000000000"/>
            <w:tcW w:w="2265" w:type="dxa"/>
            <w:noWrap/>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Masculin</w:t>
            </w:r>
          </w:p>
        </w:tc>
        <w:tc>
          <w:tcPr>
            <w:tcW w:w="2265" w:type="dxa"/>
            <w:noWrap/>
            <w:hideMark/>
          </w:tcPr>
          <w:p w:rsidR="00EF395D" w:rsidRPr="00EF395D" w:rsidRDefault="00EF395D" w:rsidP="00D35A9F">
            <w:pP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95.12</w:t>
            </w:r>
          </w:p>
        </w:tc>
        <w:tc>
          <w:tcPr>
            <w:tcW w:w="2265" w:type="dxa"/>
            <w:noWrap/>
            <w:hideMark/>
          </w:tcPr>
          <w:p w:rsidR="00EF395D" w:rsidRPr="00EF395D" w:rsidRDefault="00EF395D" w:rsidP="00D35A9F">
            <w:pP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92.72</w:t>
            </w:r>
          </w:p>
        </w:tc>
        <w:tc>
          <w:tcPr>
            <w:tcW w:w="2265" w:type="dxa"/>
            <w:noWrap/>
            <w:hideMark/>
          </w:tcPr>
          <w:p w:rsidR="00EF395D" w:rsidRPr="00EF395D" w:rsidRDefault="00EF395D" w:rsidP="00D35A9F">
            <w:pP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93.94</w:t>
            </w:r>
          </w:p>
        </w:tc>
      </w:tr>
      <w:tr w:rsidR="00EF395D" w:rsidRPr="00EF395D" w:rsidTr="00D01210">
        <w:trPr>
          <w:trHeight w:val="242"/>
        </w:trPr>
        <w:tc>
          <w:tcPr>
            <w:cnfStyle w:val="001000000000"/>
            <w:tcW w:w="2265" w:type="dxa"/>
            <w:noWrap/>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Féminin</w:t>
            </w:r>
          </w:p>
        </w:tc>
        <w:tc>
          <w:tcPr>
            <w:tcW w:w="2265" w:type="dxa"/>
            <w:noWrap/>
            <w:hideMark/>
          </w:tcPr>
          <w:p w:rsidR="00EF395D" w:rsidRPr="00EF395D" w:rsidRDefault="00EF395D" w:rsidP="00D35A9F">
            <w:pP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45.68</w:t>
            </w:r>
          </w:p>
        </w:tc>
        <w:tc>
          <w:tcPr>
            <w:tcW w:w="2265" w:type="dxa"/>
            <w:noWrap/>
            <w:hideMark/>
          </w:tcPr>
          <w:p w:rsidR="00EF395D" w:rsidRPr="00EF395D" w:rsidRDefault="00EF395D" w:rsidP="00D35A9F">
            <w:pP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27.31</w:t>
            </w:r>
          </w:p>
        </w:tc>
        <w:tc>
          <w:tcPr>
            <w:tcW w:w="2265" w:type="dxa"/>
            <w:noWrap/>
            <w:hideMark/>
          </w:tcPr>
          <w:p w:rsidR="00EF395D" w:rsidRPr="00EF395D" w:rsidRDefault="00EF395D" w:rsidP="00D35A9F">
            <w:pPr>
              <w:cnfStyle w:val="000000000000"/>
              <w:rPr>
                <w:rFonts w:asciiTheme="majorBidi" w:eastAsia="Times New Roman" w:hAnsiTheme="majorBidi" w:cstheme="majorBidi"/>
                <w:color w:val="000000"/>
              </w:rPr>
            </w:pPr>
            <w:r w:rsidRPr="00EF395D">
              <w:rPr>
                <w:rFonts w:asciiTheme="majorBidi" w:eastAsia="Times New Roman" w:hAnsiTheme="majorBidi" w:cstheme="majorBidi"/>
                <w:color w:val="000000"/>
              </w:rPr>
              <w:t>37.15</w:t>
            </w:r>
          </w:p>
        </w:tc>
      </w:tr>
      <w:tr w:rsidR="00EF395D" w:rsidRPr="00EF395D" w:rsidTr="00D01210">
        <w:trPr>
          <w:cnfStyle w:val="000000100000"/>
          <w:trHeight w:val="245"/>
        </w:trPr>
        <w:tc>
          <w:tcPr>
            <w:cnfStyle w:val="001000000000"/>
            <w:tcW w:w="2265" w:type="dxa"/>
            <w:noWrap/>
            <w:hideMark/>
          </w:tcPr>
          <w:p w:rsidR="00EF395D" w:rsidRPr="00EF395D" w:rsidRDefault="00EF395D" w:rsidP="00D35A9F">
            <w:pPr>
              <w:rPr>
                <w:rFonts w:asciiTheme="majorBidi" w:eastAsia="Times New Roman" w:hAnsiTheme="majorBidi" w:cstheme="majorBidi"/>
                <w:color w:val="000000"/>
              </w:rPr>
            </w:pPr>
            <w:r w:rsidRPr="00EF395D">
              <w:rPr>
                <w:rFonts w:asciiTheme="majorBidi" w:eastAsia="Times New Roman" w:hAnsiTheme="majorBidi" w:cstheme="majorBidi"/>
                <w:color w:val="000000"/>
              </w:rPr>
              <w:t>Ensemble</w:t>
            </w:r>
          </w:p>
        </w:tc>
        <w:tc>
          <w:tcPr>
            <w:tcW w:w="2265" w:type="dxa"/>
            <w:noWrap/>
            <w:hideMark/>
          </w:tcPr>
          <w:p w:rsidR="00EF395D" w:rsidRPr="00EF395D" w:rsidRDefault="00EF395D" w:rsidP="00D35A9F">
            <w:pP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68.73</w:t>
            </w:r>
          </w:p>
        </w:tc>
        <w:tc>
          <w:tcPr>
            <w:tcW w:w="2265" w:type="dxa"/>
            <w:noWrap/>
            <w:hideMark/>
          </w:tcPr>
          <w:p w:rsidR="00EF395D" w:rsidRPr="00EF395D" w:rsidRDefault="00EF395D" w:rsidP="00D35A9F">
            <w:pP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59.41</w:t>
            </w:r>
          </w:p>
        </w:tc>
        <w:tc>
          <w:tcPr>
            <w:tcW w:w="2265" w:type="dxa"/>
            <w:noWrap/>
            <w:hideMark/>
          </w:tcPr>
          <w:p w:rsidR="00EF395D" w:rsidRPr="00EF395D" w:rsidRDefault="00EF395D" w:rsidP="00D35A9F">
            <w:pPr>
              <w:cnfStyle w:val="000000100000"/>
              <w:rPr>
                <w:rFonts w:asciiTheme="majorBidi" w:eastAsia="Times New Roman" w:hAnsiTheme="majorBidi" w:cstheme="majorBidi"/>
                <w:color w:val="000000"/>
              </w:rPr>
            </w:pPr>
            <w:r w:rsidRPr="00EF395D">
              <w:rPr>
                <w:rFonts w:asciiTheme="majorBidi" w:eastAsia="Times New Roman" w:hAnsiTheme="majorBidi" w:cstheme="majorBidi"/>
                <w:color w:val="000000"/>
              </w:rPr>
              <w:t>64.29</w:t>
            </w:r>
          </w:p>
        </w:tc>
      </w:tr>
    </w:tbl>
    <w:p w:rsidR="00EF395D" w:rsidRDefault="00EF395D" w:rsidP="00EF395D">
      <w:pPr>
        <w:autoSpaceDE w:val="0"/>
        <w:autoSpaceDN w:val="0"/>
        <w:adjustRightInd w:val="0"/>
        <w:spacing w:after="0" w:line="240" w:lineRule="auto"/>
        <w:rPr>
          <w:rFonts w:asciiTheme="majorBidi" w:hAnsiTheme="majorBidi" w:cstheme="majorBidi"/>
        </w:rPr>
      </w:pPr>
      <w:r w:rsidRPr="00EF395D">
        <w:rPr>
          <w:rFonts w:asciiTheme="majorBidi" w:hAnsiTheme="majorBidi" w:cstheme="majorBidi"/>
        </w:rPr>
        <w:t>Source : Traitements effectués par les auteurs à partir des données de l’ENPA 2006, HCP.</w:t>
      </w:r>
    </w:p>
    <w:p w:rsidR="00EF395D" w:rsidRPr="001A0BFB" w:rsidRDefault="001A0BFB" w:rsidP="001A0BFB">
      <w:pPr>
        <w:spacing w:before="240" w:after="240" w:line="360" w:lineRule="auto"/>
        <w:jc w:val="both"/>
        <w:rPr>
          <w:rFonts w:asciiTheme="majorBidi" w:hAnsiTheme="majorBidi" w:cstheme="majorBidi"/>
          <w:sz w:val="24"/>
          <w:szCs w:val="24"/>
        </w:rPr>
      </w:pPr>
      <w:r w:rsidRPr="001A0BFB">
        <w:rPr>
          <w:rFonts w:asciiTheme="majorBidi" w:hAnsiTheme="majorBidi" w:cstheme="majorBidi"/>
          <w:sz w:val="24"/>
          <w:szCs w:val="24"/>
        </w:rPr>
        <w:t>En théorie, on est autorisé à supposer que le chef de ménage est celui qui héberge les autres membres du ménage. Cependant, dans la société marocaine, le parent âgé hébergé chez l'un de ses fils peut s'auto-déclarer ou être déclaré par son fils comme chef de ménage, même s'il n'entretient pas économiquement le ménage, ce qui fait que dans notre cas 64.3% des personnes âgées sont définies comme chefs de ménage. Et c’est ce qui explique l’écart existant entre les hommes (93.9%) et les femmes (37.2%) qui sont chefs de ménage, dans la mesure où, en la présence d’un homme, on ne déclare pas les femmes comme cheftaines de ménage. Ceci se manifeste plus clairement au niveau spatial, avec seulement 27.3% des femmes rurales sont cheftaines de ménage contre 45.68% pour les femmes citadines.</w:t>
      </w:r>
    </w:p>
    <w:p w:rsidR="001A0BFB" w:rsidRPr="001A0BFB" w:rsidRDefault="009E1CC9" w:rsidP="002317F2">
      <w:pPr>
        <w:pStyle w:val="Titre3"/>
        <w:numPr>
          <w:ilvl w:val="0"/>
          <w:numId w:val="5"/>
        </w:numPr>
        <w:spacing w:after="100" w:afterAutospacing="1"/>
        <w:rPr>
          <w:rFonts w:asciiTheme="majorBidi" w:hAnsiTheme="majorBidi"/>
          <w:b/>
          <w:bCs/>
          <w:i/>
          <w:iCs/>
          <w:color w:val="auto"/>
        </w:rPr>
      </w:pPr>
      <w:r>
        <w:rPr>
          <w:rFonts w:asciiTheme="majorBidi" w:hAnsiTheme="majorBidi"/>
          <w:b/>
          <w:bCs/>
          <w:i/>
          <w:iCs/>
          <w:color w:val="auto"/>
        </w:rPr>
        <w:t xml:space="preserve">Le rôle </w:t>
      </w:r>
      <w:r w:rsidR="0007498F">
        <w:rPr>
          <w:rFonts w:asciiTheme="majorBidi" w:hAnsiTheme="majorBidi"/>
          <w:b/>
          <w:bCs/>
          <w:i/>
          <w:iCs/>
          <w:color w:val="auto"/>
        </w:rPr>
        <w:t xml:space="preserve">du </w:t>
      </w:r>
      <w:r w:rsidR="002317F2">
        <w:rPr>
          <w:rFonts w:asciiTheme="majorBidi" w:hAnsiTheme="majorBidi"/>
          <w:b/>
          <w:bCs/>
          <w:i/>
          <w:iCs/>
          <w:color w:val="auto"/>
        </w:rPr>
        <w:t>réseau relationnel</w:t>
      </w:r>
    </w:p>
    <w:p w:rsidR="001A0BFB" w:rsidRDefault="001A0BFB" w:rsidP="001A0BFB">
      <w:pPr>
        <w:spacing w:before="240" w:after="240" w:line="360" w:lineRule="auto"/>
        <w:jc w:val="both"/>
        <w:rPr>
          <w:rFonts w:asciiTheme="majorBidi" w:hAnsiTheme="majorBidi" w:cstheme="majorBidi"/>
          <w:sz w:val="24"/>
          <w:szCs w:val="24"/>
        </w:rPr>
      </w:pPr>
      <w:r w:rsidRPr="001A0BFB">
        <w:rPr>
          <w:rFonts w:asciiTheme="majorBidi" w:hAnsiTheme="majorBidi" w:cstheme="majorBidi"/>
          <w:sz w:val="24"/>
          <w:szCs w:val="24"/>
        </w:rPr>
        <w:t>En effet le fait de vivre seul, notamment pour les personnes âgées qui ne l’ont pas choisie, favorise souvent l’isolement social. Toutefois, les personnes qui ne vivent pas seules peuvent souffrir de solitude. C’est par exemple le cas de celles qui ne bénéficient pas de relations choisies, amicales et réciproques qui leur apportent le sentiment de compter pour quelqu’un. D’après les résultats consignés dans le tableau ci-après, 69.1 % des personnes âgées qui n’entretiennent aucune relation amicale ressentent la solitude, alors que pour ceux qui déclarent avoir un ami avec qui l'on se sent bien, ce pourcentage est de 56.6%.</w:t>
      </w:r>
    </w:p>
    <w:p w:rsidR="001A0BFB" w:rsidRPr="001A0BFB" w:rsidRDefault="001A0BFB" w:rsidP="001A0BFB">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12" w:name="_Toc435217207"/>
      <w:r>
        <w:rPr>
          <w:rStyle w:val="Emphaseple"/>
          <w:rFonts w:asciiTheme="majorBidi" w:hAnsiTheme="majorBidi" w:cstheme="majorBidi"/>
          <w:b/>
          <w:bCs/>
          <w:color w:val="auto"/>
          <w:sz w:val="24"/>
          <w:szCs w:val="24"/>
        </w:rPr>
        <w:t>Tableau 10</w:t>
      </w:r>
      <w:r w:rsidRPr="001A0BFB">
        <w:rPr>
          <w:rStyle w:val="Emphaseple"/>
          <w:rFonts w:asciiTheme="majorBidi" w:hAnsiTheme="majorBidi" w:cstheme="majorBidi"/>
          <w:b/>
          <w:bCs/>
          <w:color w:val="auto"/>
          <w:sz w:val="24"/>
          <w:szCs w:val="24"/>
        </w:rPr>
        <w:t> : Sentiment de solitude selon l’existence d’une relation amicale</w:t>
      </w:r>
      <w:bookmarkEnd w:id="12"/>
    </w:p>
    <w:tbl>
      <w:tblPr>
        <w:tblStyle w:val="ListTable6Colorful-Accent31"/>
        <w:tblW w:w="0" w:type="auto"/>
        <w:tblLook w:val="04A0"/>
      </w:tblPr>
      <w:tblGrid>
        <w:gridCol w:w="2303"/>
        <w:gridCol w:w="2303"/>
        <w:gridCol w:w="2303"/>
        <w:gridCol w:w="2303"/>
      </w:tblGrid>
      <w:tr w:rsidR="001A0BFB" w:rsidRPr="001A0BFB" w:rsidTr="001A0BFB">
        <w:trPr>
          <w:cnfStyle w:val="100000000000"/>
        </w:trPr>
        <w:tc>
          <w:tcPr>
            <w:cnfStyle w:val="001000000000"/>
            <w:tcW w:w="2303" w:type="dxa"/>
            <w:vMerge w:val="restart"/>
          </w:tcPr>
          <w:p w:rsidR="001A0BFB" w:rsidRPr="001A0BFB" w:rsidRDefault="001A0BFB" w:rsidP="00D35A9F">
            <w:pPr>
              <w:jc w:val="center"/>
              <w:rPr>
                <w:rFonts w:asciiTheme="majorBidi" w:hAnsiTheme="majorBidi" w:cstheme="majorBidi"/>
                <w:sz w:val="24"/>
                <w:szCs w:val="24"/>
              </w:rPr>
            </w:pPr>
          </w:p>
        </w:tc>
        <w:tc>
          <w:tcPr>
            <w:tcW w:w="4606" w:type="dxa"/>
            <w:gridSpan w:val="2"/>
          </w:tcPr>
          <w:p w:rsidR="001A0BFB" w:rsidRPr="001A0BFB" w:rsidRDefault="001A0BFB" w:rsidP="00D35A9F">
            <w:pPr>
              <w:jc w:val="center"/>
              <w:cnfStyle w:val="100000000000"/>
              <w:rPr>
                <w:rFonts w:asciiTheme="majorBidi" w:hAnsiTheme="majorBidi" w:cstheme="majorBidi"/>
                <w:sz w:val="24"/>
                <w:szCs w:val="24"/>
              </w:rPr>
            </w:pPr>
            <w:r w:rsidRPr="001A0BFB">
              <w:rPr>
                <w:rFonts w:asciiTheme="majorBidi" w:eastAsia="Times New Roman" w:hAnsiTheme="majorBidi" w:cstheme="majorBidi"/>
                <w:color w:val="000000"/>
              </w:rPr>
              <w:t>Existence d'un ami</w:t>
            </w:r>
          </w:p>
        </w:tc>
        <w:tc>
          <w:tcPr>
            <w:tcW w:w="2303" w:type="dxa"/>
            <w:vMerge w:val="restart"/>
          </w:tcPr>
          <w:p w:rsidR="001A0BFB" w:rsidRPr="001A0BFB" w:rsidRDefault="001A0BFB" w:rsidP="00D35A9F">
            <w:pPr>
              <w:jc w:val="center"/>
              <w:cnfStyle w:val="100000000000"/>
              <w:rPr>
                <w:rFonts w:asciiTheme="majorBidi" w:eastAsia="Times New Roman" w:hAnsiTheme="majorBidi" w:cstheme="majorBidi"/>
                <w:color w:val="000000"/>
              </w:rPr>
            </w:pPr>
          </w:p>
          <w:p w:rsidR="001A0BFB" w:rsidRPr="001A0BFB" w:rsidRDefault="001A0BFB" w:rsidP="00D35A9F">
            <w:pPr>
              <w:jc w:val="center"/>
              <w:cnfStyle w:val="100000000000"/>
              <w:rPr>
                <w:rFonts w:asciiTheme="majorBidi" w:hAnsiTheme="majorBidi" w:cstheme="majorBidi"/>
                <w:sz w:val="24"/>
                <w:szCs w:val="24"/>
              </w:rPr>
            </w:pPr>
            <w:r w:rsidRPr="001A0BFB">
              <w:rPr>
                <w:rFonts w:asciiTheme="majorBidi" w:eastAsia="Times New Roman" w:hAnsiTheme="majorBidi" w:cstheme="majorBidi"/>
                <w:color w:val="000000"/>
              </w:rPr>
              <w:t>Total</w:t>
            </w:r>
          </w:p>
        </w:tc>
      </w:tr>
      <w:tr w:rsidR="001A0BFB" w:rsidRPr="001A0BFB" w:rsidTr="001A0BFB">
        <w:trPr>
          <w:cnfStyle w:val="000000100000"/>
        </w:trPr>
        <w:tc>
          <w:tcPr>
            <w:cnfStyle w:val="001000000000"/>
            <w:tcW w:w="2303" w:type="dxa"/>
            <w:vMerge/>
          </w:tcPr>
          <w:p w:rsidR="001A0BFB" w:rsidRPr="001A0BFB" w:rsidRDefault="001A0BFB" w:rsidP="00D35A9F">
            <w:pPr>
              <w:jc w:val="center"/>
              <w:rPr>
                <w:rFonts w:asciiTheme="majorBidi" w:hAnsiTheme="majorBidi" w:cstheme="majorBidi"/>
                <w:sz w:val="24"/>
                <w:szCs w:val="24"/>
              </w:rPr>
            </w:pPr>
          </w:p>
        </w:tc>
        <w:tc>
          <w:tcPr>
            <w:tcW w:w="2303" w:type="dxa"/>
          </w:tcPr>
          <w:p w:rsidR="001A0BFB" w:rsidRPr="001A0BFB" w:rsidRDefault="001A0BFB" w:rsidP="00D35A9F">
            <w:pPr>
              <w:jc w:val="center"/>
              <w:cnfStyle w:val="000000100000"/>
              <w:rPr>
                <w:rFonts w:asciiTheme="majorBidi" w:eastAsia="Times New Roman" w:hAnsiTheme="majorBidi" w:cstheme="majorBidi"/>
                <w:b/>
                <w:bCs/>
                <w:color w:val="000000"/>
              </w:rPr>
            </w:pPr>
            <w:r w:rsidRPr="001A0BFB">
              <w:rPr>
                <w:rFonts w:asciiTheme="majorBidi" w:eastAsia="Times New Roman" w:hAnsiTheme="majorBidi" w:cstheme="majorBidi"/>
                <w:b/>
                <w:bCs/>
                <w:color w:val="000000"/>
              </w:rPr>
              <w:t>Oui</w:t>
            </w:r>
          </w:p>
        </w:tc>
        <w:tc>
          <w:tcPr>
            <w:tcW w:w="2303" w:type="dxa"/>
          </w:tcPr>
          <w:p w:rsidR="001A0BFB" w:rsidRPr="001A0BFB" w:rsidRDefault="001A0BFB" w:rsidP="00D35A9F">
            <w:pPr>
              <w:jc w:val="center"/>
              <w:cnfStyle w:val="000000100000"/>
              <w:rPr>
                <w:rFonts w:asciiTheme="majorBidi" w:eastAsia="Times New Roman" w:hAnsiTheme="majorBidi" w:cstheme="majorBidi"/>
                <w:b/>
                <w:bCs/>
                <w:color w:val="000000"/>
              </w:rPr>
            </w:pPr>
            <w:r w:rsidRPr="001A0BFB">
              <w:rPr>
                <w:rFonts w:asciiTheme="majorBidi" w:eastAsia="Times New Roman" w:hAnsiTheme="majorBidi" w:cstheme="majorBidi"/>
                <w:b/>
                <w:bCs/>
                <w:color w:val="000000"/>
              </w:rPr>
              <w:t>Non</w:t>
            </w:r>
          </w:p>
        </w:tc>
        <w:tc>
          <w:tcPr>
            <w:tcW w:w="2303" w:type="dxa"/>
            <w:vMerge/>
          </w:tcPr>
          <w:p w:rsidR="001A0BFB" w:rsidRPr="001A0BFB" w:rsidRDefault="001A0BFB" w:rsidP="00D35A9F">
            <w:pPr>
              <w:jc w:val="center"/>
              <w:cnfStyle w:val="000000100000"/>
              <w:rPr>
                <w:rFonts w:asciiTheme="majorBidi" w:hAnsiTheme="majorBidi" w:cstheme="majorBidi"/>
                <w:sz w:val="24"/>
                <w:szCs w:val="24"/>
              </w:rPr>
            </w:pPr>
          </w:p>
        </w:tc>
      </w:tr>
      <w:tr w:rsidR="001A0BFB" w:rsidRPr="001A0BFB" w:rsidTr="001A0BFB">
        <w:tc>
          <w:tcPr>
            <w:cnfStyle w:val="001000000000"/>
            <w:tcW w:w="2303" w:type="dxa"/>
          </w:tcPr>
          <w:p w:rsidR="001A0BFB" w:rsidRPr="001A0BFB" w:rsidRDefault="001A0BFB" w:rsidP="00D35A9F">
            <w:pPr>
              <w:rPr>
                <w:rFonts w:asciiTheme="majorBidi" w:eastAsia="Times New Roman" w:hAnsiTheme="majorBidi" w:cstheme="majorBidi"/>
                <w:color w:val="000000"/>
              </w:rPr>
            </w:pPr>
            <w:r w:rsidRPr="001A0BFB">
              <w:rPr>
                <w:rFonts w:asciiTheme="majorBidi" w:eastAsia="Times New Roman" w:hAnsiTheme="majorBidi" w:cstheme="majorBidi"/>
                <w:color w:val="000000"/>
              </w:rPr>
              <w:t>Solitude</w:t>
            </w:r>
          </w:p>
        </w:tc>
        <w:tc>
          <w:tcPr>
            <w:tcW w:w="2303" w:type="dxa"/>
          </w:tcPr>
          <w:p w:rsidR="001A0BFB" w:rsidRPr="001A0BFB" w:rsidRDefault="001A0BFB" w:rsidP="00D35A9F">
            <w:pPr>
              <w:jc w:val="center"/>
              <w:cnfStyle w:val="000000000000"/>
              <w:rPr>
                <w:rFonts w:asciiTheme="majorBidi" w:eastAsia="Times New Roman" w:hAnsiTheme="majorBidi" w:cstheme="majorBidi"/>
                <w:color w:val="000000"/>
              </w:rPr>
            </w:pPr>
            <w:r w:rsidRPr="001A0BFB">
              <w:rPr>
                <w:rFonts w:asciiTheme="majorBidi" w:eastAsia="Times New Roman" w:hAnsiTheme="majorBidi" w:cstheme="majorBidi"/>
                <w:color w:val="000000"/>
              </w:rPr>
              <w:t>56.60</w:t>
            </w:r>
          </w:p>
        </w:tc>
        <w:tc>
          <w:tcPr>
            <w:tcW w:w="2303" w:type="dxa"/>
          </w:tcPr>
          <w:p w:rsidR="001A0BFB" w:rsidRPr="001A0BFB" w:rsidRDefault="001A0BFB" w:rsidP="00D35A9F">
            <w:pPr>
              <w:jc w:val="center"/>
              <w:cnfStyle w:val="000000000000"/>
              <w:rPr>
                <w:rFonts w:asciiTheme="majorBidi" w:eastAsia="Times New Roman" w:hAnsiTheme="majorBidi" w:cstheme="majorBidi"/>
                <w:color w:val="000000"/>
              </w:rPr>
            </w:pPr>
            <w:r w:rsidRPr="001A0BFB">
              <w:rPr>
                <w:rFonts w:asciiTheme="majorBidi" w:eastAsia="Times New Roman" w:hAnsiTheme="majorBidi" w:cstheme="majorBidi"/>
                <w:color w:val="000000"/>
              </w:rPr>
              <w:t>69.06</w:t>
            </w:r>
          </w:p>
        </w:tc>
        <w:tc>
          <w:tcPr>
            <w:tcW w:w="2303" w:type="dxa"/>
          </w:tcPr>
          <w:p w:rsidR="001A0BFB" w:rsidRPr="001A0BFB" w:rsidRDefault="001A0BFB" w:rsidP="00D35A9F">
            <w:pPr>
              <w:jc w:val="center"/>
              <w:cnfStyle w:val="000000000000"/>
              <w:rPr>
                <w:rFonts w:asciiTheme="majorBidi" w:eastAsia="Times New Roman" w:hAnsiTheme="majorBidi" w:cstheme="majorBidi"/>
                <w:color w:val="000000"/>
              </w:rPr>
            </w:pPr>
            <w:r w:rsidRPr="001A0BFB">
              <w:rPr>
                <w:rFonts w:asciiTheme="majorBidi" w:eastAsia="Times New Roman" w:hAnsiTheme="majorBidi" w:cstheme="majorBidi"/>
                <w:color w:val="000000"/>
              </w:rPr>
              <w:t xml:space="preserve">63.13 </w:t>
            </w:r>
          </w:p>
        </w:tc>
      </w:tr>
      <w:tr w:rsidR="001A0BFB" w:rsidRPr="001A0BFB" w:rsidTr="001A0BFB">
        <w:trPr>
          <w:cnfStyle w:val="000000100000"/>
        </w:trPr>
        <w:tc>
          <w:tcPr>
            <w:cnfStyle w:val="001000000000"/>
            <w:tcW w:w="2303" w:type="dxa"/>
          </w:tcPr>
          <w:p w:rsidR="001A0BFB" w:rsidRPr="001A0BFB" w:rsidRDefault="001A0BFB" w:rsidP="00D35A9F">
            <w:pPr>
              <w:rPr>
                <w:rFonts w:asciiTheme="majorBidi" w:eastAsia="Times New Roman" w:hAnsiTheme="majorBidi" w:cstheme="majorBidi"/>
                <w:color w:val="000000"/>
              </w:rPr>
            </w:pPr>
            <w:r w:rsidRPr="001A0BFB">
              <w:rPr>
                <w:rFonts w:asciiTheme="majorBidi" w:eastAsia="Times New Roman" w:hAnsiTheme="majorBidi" w:cstheme="majorBidi"/>
                <w:color w:val="000000"/>
              </w:rPr>
              <w:t>Pas de solitude</w:t>
            </w:r>
          </w:p>
        </w:tc>
        <w:tc>
          <w:tcPr>
            <w:tcW w:w="2303" w:type="dxa"/>
          </w:tcPr>
          <w:p w:rsidR="001A0BFB" w:rsidRPr="001A0BFB" w:rsidRDefault="001A0BFB" w:rsidP="00D35A9F">
            <w:pPr>
              <w:jc w:val="center"/>
              <w:cnfStyle w:val="000000100000"/>
              <w:rPr>
                <w:rFonts w:asciiTheme="majorBidi" w:eastAsia="Times New Roman" w:hAnsiTheme="majorBidi" w:cstheme="majorBidi"/>
                <w:color w:val="000000"/>
              </w:rPr>
            </w:pPr>
            <w:r w:rsidRPr="001A0BFB">
              <w:rPr>
                <w:rFonts w:asciiTheme="majorBidi" w:eastAsia="Times New Roman" w:hAnsiTheme="majorBidi" w:cstheme="majorBidi"/>
                <w:color w:val="000000"/>
              </w:rPr>
              <w:t xml:space="preserve">43.40 </w:t>
            </w:r>
          </w:p>
        </w:tc>
        <w:tc>
          <w:tcPr>
            <w:tcW w:w="2303" w:type="dxa"/>
          </w:tcPr>
          <w:p w:rsidR="001A0BFB" w:rsidRPr="001A0BFB" w:rsidRDefault="001A0BFB" w:rsidP="00D35A9F">
            <w:pPr>
              <w:jc w:val="center"/>
              <w:cnfStyle w:val="000000100000"/>
              <w:rPr>
                <w:rFonts w:asciiTheme="majorBidi" w:eastAsia="Times New Roman" w:hAnsiTheme="majorBidi" w:cstheme="majorBidi"/>
                <w:color w:val="000000"/>
              </w:rPr>
            </w:pPr>
            <w:r w:rsidRPr="001A0BFB">
              <w:rPr>
                <w:rFonts w:asciiTheme="majorBidi" w:eastAsia="Times New Roman" w:hAnsiTheme="majorBidi" w:cstheme="majorBidi"/>
                <w:color w:val="000000"/>
              </w:rPr>
              <w:t>30.94</w:t>
            </w:r>
          </w:p>
        </w:tc>
        <w:tc>
          <w:tcPr>
            <w:tcW w:w="2303" w:type="dxa"/>
          </w:tcPr>
          <w:p w:rsidR="001A0BFB" w:rsidRPr="001A0BFB" w:rsidRDefault="001A0BFB" w:rsidP="00D35A9F">
            <w:pPr>
              <w:jc w:val="center"/>
              <w:cnfStyle w:val="000000100000"/>
              <w:rPr>
                <w:rFonts w:asciiTheme="majorBidi" w:eastAsia="Times New Roman" w:hAnsiTheme="majorBidi" w:cstheme="majorBidi"/>
                <w:color w:val="000000"/>
              </w:rPr>
            </w:pPr>
            <w:r w:rsidRPr="001A0BFB">
              <w:rPr>
                <w:rFonts w:asciiTheme="majorBidi" w:eastAsia="Times New Roman" w:hAnsiTheme="majorBidi" w:cstheme="majorBidi"/>
                <w:color w:val="000000"/>
              </w:rPr>
              <w:t xml:space="preserve">36.87 </w:t>
            </w:r>
          </w:p>
        </w:tc>
      </w:tr>
    </w:tbl>
    <w:p w:rsidR="001A0BFB" w:rsidRPr="001A0BFB" w:rsidRDefault="001A0BFB" w:rsidP="001A0BFB">
      <w:pPr>
        <w:spacing w:after="120"/>
        <w:rPr>
          <w:rFonts w:asciiTheme="majorBidi" w:hAnsiTheme="majorBidi" w:cstheme="majorBidi"/>
          <w:bCs/>
          <w:sz w:val="24"/>
          <w:szCs w:val="24"/>
        </w:rPr>
      </w:pPr>
      <w:r w:rsidRPr="001A0BFB">
        <w:rPr>
          <w:rFonts w:asciiTheme="majorBidi" w:hAnsiTheme="majorBidi" w:cstheme="majorBidi"/>
        </w:rPr>
        <w:t>Source : Traitements effectués par les auteurs à partir des données de l’ENPA 2006, HCP.</w:t>
      </w:r>
    </w:p>
    <w:p w:rsidR="001A0BFB" w:rsidRPr="001A0BFB" w:rsidRDefault="001A0BFB" w:rsidP="001A0BFB">
      <w:pPr>
        <w:spacing w:after="120" w:line="360" w:lineRule="auto"/>
        <w:jc w:val="both"/>
        <w:rPr>
          <w:rFonts w:asciiTheme="majorBidi" w:hAnsiTheme="majorBidi" w:cstheme="majorBidi"/>
          <w:bCs/>
          <w:sz w:val="24"/>
          <w:szCs w:val="24"/>
        </w:rPr>
      </w:pPr>
      <w:r w:rsidRPr="001A0BFB">
        <w:rPr>
          <w:rFonts w:asciiTheme="majorBidi" w:hAnsiTheme="majorBidi" w:cstheme="majorBidi"/>
          <w:sz w:val="24"/>
          <w:szCs w:val="24"/>
        </w:rPr>
        <w:t xml:space="preserve">On peut conclure que le contact avec les amis joue un rôle fondamental avec le sentiment de solitude. </w:t>
      </w:r>
      <w:r w:rsidRPr="001A0BFB">
        <w:rPr>
          <w:rFonts w:asciiTheme="majorBidi" w:hAnsiTheme="majorBidi" w:cstheme="majorBidi"/>
          <w:bCs/>
          <w:sz w:val="24"/>
          <w:szCs w:val="24"/>
        </w:rPr>
        <w:t>La solitude</w:t>
      </w:r>
      <w:r w:rsidRPr="001A0BFB">
        <w:rPr>
          <w:rFonts w:asciiTheme="majorBidi" w:hAnsiTheme="majorBidi" w:cstheme="majorBidi"/>
          <w:sz w:val="24"/>
          <w:szCs w:val="24"/>
        </w:rPr>
        <w:t xml:space="preserve"> est l’état d’isolement social ou relationnel dans lequel se trouve une personne. Elle est la conséquence d’une intégration difficile pour certains et d’un processus de désinsertion sociale pour d’autres. Avec leurs amis, les personnes âgées peuvent avoir des occupations communes axées, notamment, sur les divertissements et les loisirs.</w:t>
      </w:r>
    </w:p>
    <w:p w:rsidR="001A0BFB" w:rsidRPr="001A0BFB" w:rsidRDefault="001A0BFB" w:rsidP="001A0BFB">
      <w:pPr>
        <w:spacing w:before="100" w:beforeAutospacing="1" w:after="100" w:afterAutospacing="1" w:line="360" w:lineRule="auto"/>
        <w:jc w:val="both"/>
        <w:rPr>
          <w:rFonts w:asciiTheme="majorBidi" w:hAnsiTheme="majorBidi" w:cstheme="majorBidi"/>
          <w:sz w:val="24"/>
          <w:szCs w:val="24"/>
        </w:rPr>
      </w:pPr>
      <w:r w:rsidRPr="001A0BFB">
        <w:rPr>
          <w:rFonts w:asciiTheme="majorBidi" w:hAnsiTheme="majorBidi" w:cstheme="majorBidi"/>
          <w:sz w:val="24"/>
          <w:szCs w:val="24"/>
        </w:rPr>
        <w:lastRenderedPageBreak/>
        <w:t xml:space="preserve">En effet le phénomène de l’isolement et l’exclusion sociale existe au Maroc mais pas de la même ampleur que dans les autres pays comme en Europe. Nous pouvons lier cela à des raisons religieuses, à la pratique de la cohabitation intergénérationnelle et à la culture familiale qui caractérise la société marocaine depuis des décennies. Comme il a été déjà susmentionné, la majorité des personnes âgées vivent en famille tandis que seulement 6.7% vivent seules. </w:t>
      </w:r>
    </w:p>
    <w:p w:rsidR="001A0BFB" w:rsidRPr="001A0BFB" w:rsidRDefault="001A0BFB" w:rsidP="001A0BFB">
      <w:pPr>
        <w:spacing w:before="100" w:beforeAutospacing="1" w:after="100" w:afterAutospacing="1" w:line="360" w:lineRule="auto"/>
        <w:jc w:val="both"/>
        <w:rPr>
          <w:rFonts w:asciiTheme="majorBidi" w:hAnsiTheme="majorBidi" w:cstheme="majorBidi"/>
          <w:sz w:val="24"/>
          <w:szCs w:val="24"/>
        </w:rPr>
      </w:pPr>
      <w:r w:rsidRPr="001A0BFB">
        <w:rPr>
          <w:rFonts w:asciiTheme="majorBidi" w:hAnsiTheme="majorBidi" w:cstheme="majorBidi"/>
          <w:sz w:val="24"/>
          <w:szCs w:val="24"/>
        </w:rPr>
        <w:t>Or, l’enquête nationale sur les personnes âgées recueille des informations sur le degré de solitude ressentie par les personnes âgées. C’est ainsi que 38.1% des personnes âgées souffrent de la solitude de manière régulière, 43.7% pour les femmes et 32% pour les hommes et 36.8% parmi elles ne manifestent aucun sentiment de solitude, 45.2% pour les hommes contre seulement 29.1%  pour les femmes.</w:t>
      </w:r>
    </w:p>
    <w:p w:rsidR="0007498F" w:rsidRDefault="0007498F" w:rsidP="0007498F">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13" w:name="_Toc435217208"/>
      <w:r>
        <w:rPr>
          <w:rStyle w:val="Emphaseple"/>
          <w:rFonts w:asciiTheme="majorBidi" w:hAnsiTheme="majorBidi" w:cstheme="majorBidi"/>
          <w:b/>
          <w:bCs/>
          <w:color w:val="auto"/>
          <w:sz w:val="24"/>
          <w:szCs w:val="24"/>
        </w:rPr>
        <w:t>Tableau 11</w:t>
      </w:r>
      <w:r w:rsidRPr="0007498F">
        <w:rPr>
          <w:rStyle w:val="Emphaseple"/>
          <w:rFonts w:asciiTheme="majorBidi" w:hAnsiTheme="majorBidi" w:cstheme="majorBidi"/>
          <w:b/>
          <w:bCs/>
          <w:color w:val="auto"/>
          <w:sz w:val="24"/>
          <w:szCs w:val="24"/>
        </w:rPr>
        <w:t> : répartition des personnes âgées selon le degré de solitude ressentie et le sexe</w:t>
      </w:r>
      <w:bookmarkEnd w:id="13"/>
    </w:p>
    <w:tbl>
      <w:tblPr>
        <w:tblStyle w:val="ListTable6Colorful-Accent31"/>
        <w:tblW w:w="0" w:type="auto"/>
        <w:tblLook w:val="04A0"/>
      </w:tblPr>
      <w:tblGrid>
        <w:gridCol w:w="3936"/>
        <w:gridCol w:w="1758"/>
        <w:gridCol w:w="1759"/>
        <w:gridCol w:w="1759"/>
      </w:tblGrid>
      <w:tr w:rsidR="0007498F" w:rsidRPr="002317F2" w:rsidTr="002317F2">
        <w:trPr>
          <w:cnfStyle w:val="100000000000"/>
        </w:trPr>
        <w:tc>
          <w:tcPr>
            <w:cnfStyle w:val="001000000000"/>
            <w:tcW w:w="3936" w:type="dxa"/>
            <w:vMerge w:val="restart"/>
          </w:tcPr>
          <w:p w:rsidR="0007498F" w:rsidRPr="002317F2" w:rsidRDefault="0007498F" w:rsidP="00D35A9F">
            <w:pPr>
              <w:jc w:val="center"/>
              <w:rPr>
                <w:rFonts w:asciiTheme="majorBidi" w:hAnsiTheme="majorBidi" w:cstheme="majorBidi"/>
                <w:color w:val="auto"/>
                <w:sz w:val="24"/>
                <w:szCs w:val="24"/>
              </w:rPr>
            </w:pPr>
            <w:r w:rsidRPr="002317F2">
              <w:rPr>
                <w:rFonts w:asciiTheme="majorBidi" w:hAnsiTheme="majorBidi" w:cstheme="majorBidi"/>
                <w:bCs w:val="0"/>
                <w:color w:val="auto"/>
                <w:sz w:val="24"/>
                <w:szCs w:val="24"/>
              </w:rPr>
              <w:t>Degré de solitude</w:t>
            </w:r>
          </w:p>
        </w:tc>
        <w:tc>
          <w:tcPr>
            <w:tcW w:w="3517" w:type="dxa"/>
            <w:gridSpan w:val="2"/>
          </w:tcPr>
          <w:p w:rsidR="0007498F" w:rsidRPr="002317F2" w:rsidRDefault="0007498F" w:rsidP="00D35A9F">
            <w:pPr>
              <w:jc w:val="center"/>
              <w:cnfStyle w:val="100000000000"/>
              <w:rPr>
                <w:rFonts w:asciiTheme="majorBidi" w:hAnsiTheme="majorBidi" w:cstheme="majorBidi"/>
                <w:color w:val="auto"/>
                <w:sz w:val="24"/>
                <w:szCs w:val="24"/>
              </w:rPr>
            </w:pPr>
            <w:r w:rsidRPr="002317F2">
              <w:rPr>
                <w:rFonts w:asciiTheme="majorBidi" w:hAnsiTheme="majorBidi" w:cstheme="majorBidi"/>
                <w:color w:val="auto"/>
                <w:sz w:val="24"/>
                <w:szCs w:val="24"/>
              </w:rPr>
              <w:t>Sexe</w:t>
            </w:r>
          </w:p>
        </w:tc>
        <w:tc>
          <w:tcPr>
            <w:tcW w:w="1759" w:type="dxa"/>
            <w:vMerge w:val="restart"/>
          </w:tcPr>
          <w:p w:rsidR="0007498F" w:rsidRPr="002317F2" w:rsidRDefault="0007498F" w:rsidP="00D35A9F">
            <w:pPr>
              <w:jc w:val="center"/>
              <w:cnfStyle w:val="100000000000"/>
              <w:rPr>
                <w:rFonts w:asciiTheme="majorBidi" w:hAnsiTheme="majorBidi" w:cstheme="majorBidi"/>
                <w:color w:val="auto"/>
                <w:sz w:val="24"/>
                <w:szCs w:val="24"/>
              </w:rPr>
            </w:pPr>
            <w:r w:rsidRPr="002317F2">
              <w:rPr>
                <w:rFonts w:asciiTheme="majorBidi" w:hAnsiTheme="majorBidi" w:cstheme="majorBidi"/>
                <w:bCs w:val="0"/>
                <w:color w:val="auto"/>
                <w:sz w:val="24"/>
                <w:szCs w:val="24"/>
              </w:rPr>
              <w:t>Total</w:t>
            </w:r>
          </w:p>
        </w:tc>
      </w:tr>
      <w:tr w:rsidR="0007498F" w:rsidRPr="002317F2" w:rsidTr="002317F2">
        <w:trPr>
          <w:cnfStyle w:val="000000100000"/>
        </w:trPr>
        <w:tc>
          <w:tcPr>
            <w:cnfStyle w:val="001000000000"/>
            <w:tcW w:w="3936" w:type="dxa"/>
            <w:vMerge/>
          </w:tcPr>
          <w:p w:rsidR="0007498F" w:rsidRPr="002317F2" w:rsidRDefault="0007498F" w:rsidP="00D35A9F">
            <w:pPr>
              <w:jc w:val="center"/>
              <w:rPr>
                <w:rFonts w:asciiTheme="majorBidi" w:hAnsiTheme="majorBidi" w:cstheme="majorBidi"/>
                <w:color w:val="auto"/>
                <w:sz w:val="24"/>
                <w:szCs w:val="24"/>
              </w:rPr>
            </w:pPr>
          </w:p>
        </w:tc>
        <w:tc>
          <w:tcPr>
            <w:tcW w:w="1758" w:type="dxa"/>
          </w:tcPr>
          <w:p w:rsidR="0007498F" w:rsidRPr="002317F2" w:rsidRDefault="0007498F" w:rsidP="00D35A9F">
            <w:pPr>
              <w:jc w:val="center"/>
              <w:cnfStyle w:val="000000100000"/>
              <w:rPr>
                <w:rFonts w:asciiTheme="majorBidi" w:hAnsiTheme="majorBidi" w:cstheme="majorBidi"/>
                <w:b/>
                <w:color w:val="auto"/>
                <w:sz w:val="24"/>
                <w:szCs w:val="24"/>
              </w:rPr>
            </w:pPr>
            <w:r w:rsidRPr="002317F2">
              <w:rPr>
                <w:rFonts w:asciiTheme="majorBidi" w:hAnsiTheme="majorBidi" w:cstheme="majorBidi"/>
                <w:b/>
                <w:color w:val="auto"/>
                <w:sz w:val="24"/>
                <w:szCs w:val="24"/>
              </w:rPr>
              <w:t>Masculin</w:t>
            </w:r>
          </w:p>
        </w:tc>
        <w:tc>
          <w:tcPr>
            <w:tcW w:w="1759" w:type="dxa"/>
          </w:tcPr>
          <w:p w:rsidR="0007498F" w:rsidRPr="002317F2" w:rsidRDefault="0007498F" w:rsidP="00D35A9F">
            <w:pPr>
              <w:jc w:val="center"/>
              <w:cnfStyle w:val="000000100000"/>
              <w:rPr>
                <w:rFonts w:asciiTheme="majorBidi" w:hAnsiTheme="majorBidi" w:cstheme="majorBidi"/>
                <w:b/>
                <w:color w:val="auto"/>
                <w:sz w:val="24"/>
                <w:szCs w:val="24"/>
              </w:rPr>
            </w:pPr>
            <w:r w:rsidRPr="002317F2">
              <w:rPr>
                <w:rFonts w:asciiTheme="majorBidi" w:hAnsiTheme="majorBidi" w:cstheme="majorBidi"/>
                <w:b/>
                <w:color w:val="auto"/>
                <w:sz w:val="24"/>
                <w:szCs w:val="24"/>
              </w:rPr>
              <w:t>Féminin</w:t>
            </w:r>
          </w:p>
        </w:tc>
        <w:tc>
          <w:tcPr>
            <w:tcW w:w="1759" w:type="dxa"/>
            <w:vMerge/>
          </w:tcPr>
          <w:p w:rsidR="0007498F" w:rsidRPr="002317F2" w:rsidRDefault="0007498F" w:rsidP="00D35A9F">
            <w:pPr>
              <w:jc w:val="center"/>
              <w:cnfStyle w:val="000000100000"/>
              <w:rPr>
                <w:rFonts w:asciiTheme="majorBidi" w:hAnsiTheme="majorBidi" w:cstheme="majorBidi"/>
                <w:color w:val="auto"/>
                <w:sz w:val="24"/>
                <w:szCs w:val="24"/>
              </w:rPr>
            </w:pPr>
          </w:p>
        </w:tc>
      </w:tr>
      <w:tr w:rsidR="0007498F" w:rsidRPr="002317F2" w:rsidTr="002317F2">
        <w:tc>
          <w:tcPr>
            <w:cnfStyle w:val="001000000000"/>
            <w:tcW w:w="3936" w:type="dxa"/>
          </w:tcPr>
          <w:p w:rsidR="0007498F" w:rsidRPr="002317F2" w:rsidRDefault="0007498F" w:rsidP="00D35A9F">
            <w:pPr>
              <w:rPr>
                <w:rFonts w:asciiTheme="majorBidi" w:hAnsiTheme="majorBidi" w:cstheme="majorBidi"/>
                <w:bCs w:val="0"/>
                <w:color w:val="auto"/>
                <w:sz w:val="24"/>
                <w:szCs w:val="24"/>
              </w:rPr>
            </w:pPr>
            <w:r w:rsidRPr="002317F2">
              <w:rPr>
                <w:rFonts w:asciiTheme="majorBidi" w:hAnsiTheme="majorBidi" w:cstheme="majorBidi"/>
                <w:bCs w:val="0"/>
                <w:color w:val="auto"/>
                <w:sz w:val="24"/>
                <w:szCs w:val="24"/>
              </w:rPr>
              <w:t>Permanent</w:t>
            </w:r>
          </w:p>
        </w:tc>
        <w:tc>
          <w:tcPr>
            <w:tcW w:w="1758" w:type="dxa"/>
          </w:tcPr>
          <w:p w:rsidR="0007498F" w:rsidRPr="002317F2" w:rsidRDefault="0007498F" w:rsidP="00D35A9F">
            <w:pPr>
              <w:jc w:val="center"/>
              <w:cnfStyle w:val="000000000000"/>
              <w:rPr>
                <w:rFonts w:asciiTheme="majorBidi" w:hAnsiTheme="majorBidi" w:cstheme="majorBidi"/>
                <w:color w:val="auto"/>
                <w:sz w:val="24"/>
                <w:szCs w:val="24"/>
              </w:rPr>
            </w:pPr>
            <w:r w:rsidRPr="002317F2">
              <w:rPr>
                <w:rFonts w:asciiTheme="majorBidi" w:hAnsiTheme="majorBidi" w:cstheme="majorBidi"/>
                <w:color w:val="auto"/>
                <w:sz w:val="24"/>
                <w:szCs w:val="24"/>
              </w:rPr>
              <w:t>31.98</w:t>
            </w:r>
          </w:p>
        </w:tc>
        <w:tc>
          <w:tcPr>
            <w:tcW w:w="1759" w:type="dxa"/>
          </w:tcPr>
          <w:p w:rsidR="0007498F" w:rsidRPr="002317F2" w:rsidRDefault="0007498F" w:rsidP="00D35A9F">
            <w:pPr>
              <w:jc w:val="center"/>
              <w:cnfStyle w:val="000000000000"/>
              <w:rPr>
                <w:rFonts w:asciiTheme="majorBidi" w:hAnsiTheme="majorBidi" w:cstheme="majorBidi"/>
                <w:color w:val="auto"/>
                <w:sz w:val="24"/>
                <w:szCs w:val="24"/>
              </w:rPr>
            </w:pPr>
            <w:r w:rsidRPr="002317F2">
              <w:rPr>
                <w:rFonts w:asciiTheme="majorBidi" w:hAnsiTheme="majorBidi" w:cstheme="majorBidi"/>
                <w:color w:val="auto"/>
                <w:sz w:val="24"/>
                <w:szCs w:val="24"/>
              </w:rPr>
              <w:t>43.66</w:t>
            </w:r>
          </w:p>
        </w:tc>
        <w:tc>
          <w:tcPr>
            <w:tcW w:w="1759" w:type="dxa"/>
          </w:tcPr>
          <w:p w:rsidR="0007498F" w:rsidRPr="002317F2" w:rsidRDefault="0007498F" w:rsidP="00D35A9F">
            <w:pPr>
              <w:jc w:val="center"/>
              <w:cnfStyle w:val="000000000000"/>
              <w:rPr>
                <w:rFonts w:asciiTheme="majorBidi" w:hAnsiTheme="majorBidi" w:cstheme="majorBidi"/>
                <w:color w:val="auto"/>
                <w:sz w:val="24"/>
                <w:szCs w:val="24"/>
              </w:rPr>
            </w:pPr>
            <w:r w:rsidRPr="002317F2">
              <w:rPr>
                <w:rFonts w:asciiTheme="majorBidi" w:hAnsiTheme="majorBidi" w:cstheme="majorBidi"/>
                <w:color w:val="auto"/>
                <w:sz w:val="24"/>
                <w:szCs w:val="24"/>
              </w:rPr>
              <w:t>38.08</w:t>
            </w:r>
          </w:p>
        </w:tc>
      </w:tr>
      <w:tr w:rsidR="0007498F" w:rsidRPr="002317F2" w:rsidTr="002317F2">
        <w:trPr>
          <w:cnfStyle w:val="000000100000"/>
        </w:trPr>
        <w:tc>
          <w:tcPr>
            <w:cnfStyle w:val="001000000000"/>
            <w:tcW w:w="3936" w:type="dxa"/>
          </w:tcPr>
          <w:p w:rsidR="0007498F" w:rsidRPr="002317F2" w:rsidRDefault="0007498F" w:rsidP="00D35A9F">
            <w:pPr>
              <w:rPr>
                <w:rFonts w:asciiTheme="majorBidi" w:hAnsiTheme="majorBidi" w:cstheme="majorBidi"/>
                <w:bCs w:val="0"/>
                <w:color w:val="auto"/>
                <w:sz w:val="24"/>
                <w:szCs w:val="24"/>
              </w:rPr>
            </w:pPr>
            <w:r w:rsidRPr="002317F2">
              <w:rPr>
                <w:rFonts w:asciiTheme="majorBidi" w:hAnsiTheme="majorBidi" w:cstheme="majorBidi"/>
                <w:bCs w:val="0"/>
                <w:color w:val="auto"/>
                <w:sz w:val="24"/>
                <w:szCs w:val="24"/>
              </w:rPr>
              <w:t>Occasionnel</w:t>
            </w:r>
          </w:p>
        </w:tc>
        <w:tc>
          <w:tcPr>
            <w:tcW w:w="1758" w:type="dxa"/>
          </w:tcPr>
          <w:p w:rsidR="0007498F" w:rsidRPr="002317F2" w:rsidRDefault="0007498F" w:rsidP="00D35A9F">
            <w:pPr>
              <w:jc w:val="center"/>
              <w:cnfStyle w:val="000000100000"/>
              <w:rPr>
                <w:rFonts w:asciiTheme="majorBidi" w:hAnsiTheme="majorBidi" w:cstheme="majorBidi"/>
                <w:color w:val="auto"/>
                <w:sz w:val="24"/>
                <w:szCs w:val="24"/>
              </w:rPr>
            </w:pPr>
            <w:r w:rsidRPr="002317F2">
              <w:rPr>
                <w:rFonts w:asciiTheme="majorBidi" w:hAnsiTheme="majorBidi" w:cstheme="majorBidi"/>
                <w:color w:val="auto"/>
                <w:sz w:val="24"/>
                <w:szCs w:val="24"/>
              </w:rPr>
              <w:t>22.88</w:t>
            </w:r>
          </w:p>
        </w:tc>
        <w:tc>
          <w:tcPr>
            <w:tcW w:w="1759" w:type="dxa"/>
          </w:tcPr>
          <w:p w:rsidR="0007498F" w:rsidRPr="002317F2" w:rsidRDefault="0007498F" w:rsidP="00D35A9F">
            <w:pPr>
              <w:jc w:val="center"/>
              <w:cnfStyle w:val="000000100000"/>
              <w:rPr>
                <w:rFonts w:asciiTheme="majorBidi" w:hAnsiTheme="majorBidi" w:cstheme="majorBidi"/>
                <w:color w:val="auto"/>
                <w:sz w:val="24"/>
                <w:szCs w:val="24"/>
              </w:rPr>
            </w:pPr>
            <w:r w:rsidRPr="002317F2">
              <w:rPr>
                <w:rFonts w:asciiTheme="majorBidi" w:hAnsiTheme="majorBidi" w:cstheme="majorBidi"/>
                <w:color w:val="auto"/>
                <w:sz w:val="24"/>
                <w:szCs w:val="24"/>
              </w:rPr>
              <w:t>27.25</w:t>
            </w:r>
          </w:p>
        </w:tc>
        <w:tc>
          <w:tcPr>
            <w:tcW w:w="1759" w:type="dxa"/>
          </w:tcPr>
          <w:p w:rsidR="0007498F" w:rsidRPr="002317F2" w:rsidRDefault="0007498F" w:rsidP="00D35A9F">
            <w:pPr>
              <w:jc w:val="center"/>
              <w:cnfStyle w:val="000000100000"/>
              <w:rPr>
                <w:rFonts w:asciiTheme="majorBidi" w:hAnsiTheme="majorBidi" w:cstheme="majorBidi"/>
                <w:color w:val="auto"/>
                <w:sz w:val="24"/>
                <w:szCs w:val="24"/>
              </w:rPr>
            </w:pPr>
            <w:r w:rsidRPr="002317F2">
              <w:rPr>
                <w:rFonts w:asciiTheme="majorBidi" w:hAnsiTheme="majorBidi" w:cstheme="majorBidi"/>
                <w:color w:val="auto"/>
                <w:sz w:val="24"/>
                <w:szCs w:val="24"/>
              </w:rPr>
              <w:t>25.16</w:t>
            </w:r>
          </w:p>
        </w:tc>
      </w:tr>
      <w:tr w:rsidR="0007498F" w:rsidRPr="002317F2" w:rsidTr="002317F2">
        <w:tc>
          <w:tcPr>
            <w:cnfStyle w:val="001000000000"/>
            <w:tcW w:w="3936" w:type="dxa"/>
          </w:tcPr>
          <w:p w:rsidR="0007498F" w:rsidRPr="002317F2" w:rsidRDefault="0007498F" w:rsidP="00D35A9F">
            <w:pPr>
              <w:rPr>
                <w:rFonts w:asciiTheme="majorBidi" w:hAnsiTheme="majorBidi" w:cstheme="majorBidi"/>
                <w:bCs w:val="0"/>
                <w:color w:val="auto"/>
                <w:sz w:val="24"/>
                <w:szCs w:val="24"/>
              </w:rPr>
            </w:pPr>
            <w:r w:rsidRPr="002317F2">
              <w:rPr>
                <w:rFonts w:asciiTheme="majorBidi" w:hAnsiTheme="majorBidi" w:cstheme="majorBidi"/>
                <w:bCs w:val="0"/>
                <w:color w:val="auto"/>
                <w:sz w:val="24"/>
                <w:szCs w:val="24"/>
              </w:rPr>
              <w:t>Absence de sentiment de solitude</w:t>
            </w:r>
          </w:p>
        </w:tc>
        <w:tc>
          <w:tcPr>
            <w:tcW w:w="1758" w:type="dxa"/>
          </w:tcPr>
          <w:p w:rsidR="0007498F" w:rsidRPr="002317F2" w:rsidRDefault="0007498F" w:rsidP="00D35A9F">
            <w:pPr>
              <w:jc w:val="center"/>
              <w:cnfStyle w:val="000000000000"/>
              <w:rPr>
                <w:rFonts w:asciiTheme="majorBidi" w:hAnsiTheme="majorBidi" w:cstheme="majorBidi"/>
                <w:color w:val="auto"/>
                <w:sz w:val="24"/>
                <w:szCs w:val="24"/>
              </w:rPr>
            </w:pPr>
            <w:r w:rsidRPr="002317F2">
              <w:rPr>
                <w:rFonts w:asciiTheme="majorBidi" w:hAnsiTheme="majorBidi" w:cstheme="majorBidi"/>
                <w:color w:val="auto"/>
                <w:sz w:val="24"/>
                <w:szCs w:val="24"/>
              </w:rPr>
              <w:t>45.14</w:t>
            </w:r>
          </w:p>
        </w:tc>
        <w:tc>
          <w:tcPr>
            <w:tcW w:w="1759" w:type="dxa"/>
          </w:tcPr>
          <w:p w:rsidR="0007498F" w:rsidRPr="002317F2" w:rsidRDefault="0007498F" w:rsidP="00D35A9F">
            <w:pPr>
              <w:jc w:val="center"/>
              <w:cnfStyle w:val="000000000000"/>
              <w:rPr>
                <w:rFonts w:asciiTheme="majorBidi" w:hAnsiTheme="majorBidi" w:cstheme="majorBidi"/>
                <w:color w:val="auto"/>
                <w:sz w:val="24"/>
                <w:szCs w:val="24"/>
              </w:rPr>
            </w:pPr>
            <w:r w:rsidRPr="002317F2">
              <w:rPr>
                <w:rFonts w:asciiTheme="majorBidi" w:hAnsiTheme="majorBidi" w:cstheme="majorBidi"/>
                <w:color w:val="auto"/>
                <w:sz w:val="24"/>
                <w:szCs w:val="24"/>
              </w:rPr>
              <w:t>29.09</w:t>
            </w:r>
          </w:p>
        </w:tc>
        <w:tc>
          <w:tcPr>
            <w:tcW w:w="1759" w:type="dxa"/>
          </w:tcPr>
          <w:p w:rsidR="0007498F" w:rsidRPr="002317F2" w:rsidRDefault="0007498F" w:rsidP="00D35A9F">
            <w:pPr>
              <w:jc w:val="center"/>
              <w:cnfStyle w:val="000000000000"/>
              <w:rPr>
                <w:rFonts w:asciiTheme="majorBidi" w:hAnsiTheme="majorBidi" w:cstheme="majorBidi"/>
                <w:color w:val="auto"/>
                <w:sz w:val="24"/>
                <w:szCs w:val="24"/>
              </w:rPr>
            </w:pPr>
            <w:r w:rsidRPr="002317F2">
              <w:rPr>
                <w:rFonts w:asciiTheme="majorBidi" w:hAnsiTheme="majorBidi" w:cstheme="majorBidi"/>
                <w:color w:val="auto"/>
                <w:sz w:val="24"/>
                <w:szCs w:val="24"/>
              </w:rPr>
              <w:t>36.75</w:t>
            </w:r>
          </w:p>
        </w:tc>
      </w:tr>
    </w:tbl>
    <w:p w:rsidR="0007498F" w:rsidRPr="002317F2" w:rsidRDefault="0007498F" w:rsidP="0007498F">
      <w:pPr>
        <w:rPr>
          <w:rFonts w:asciiTheme="majorBidi" w:hAnsiTheme="majorBidi" w:cstheme="majorBidi"/>
        </w:rPr>
      </w:pPr>
      <w:r w:rsidRPr="002317F2">
        <w:rPr>
          <w:rFonts w:asciiTheme="majorBidi" w:hAnsiTheme="majorBidi" w:cstheme="majorBidi"/>
        </w:rPr>
        <w:t>Source : Traitements effectués par les auteurs à partir des données de l’ENPA 2006, HCP.</w:t>
      </w:r>
    </w:p>
    <w:p w:rsidR="0007498F" w:rsidRPr="002317F2" w:rsidRDefault="0007498F" w:rsidP="0007498F">
      <w:pPr>
        <w:spacing w:before="100" w:beforeAutospacing="1" w:after="100" w:afterAutospacing="1" w:line="360" w:lineRule="auto"/>
        <w:jc w:val="both"/>
        <w:rPr>
          <w:rFonts w:asciiTheme="majorBidi" w:hAnsiTheme="majorBidi" w:cstheme="majorBidi"/>
          <w:sz w:val="24"/>
          <w:szCs w:val="24"/>
        </w:rPr>
      </w:pPr>
      <w:r w:rsidRPr="002317F2">
        <w:rPr>
          <w:rFonts w:asciiTheme="majorBidi" w:hAnsiTheme="majorBidi" w:cstheme="majorBidi"/>
          <w:sz w:val="24"/>
          <w:szCs w:val="24"/>
        </w:rPr>
        <w:t xml:space="preserve">En outre, plus la personne s’avance en âge plus elle a besoin de surveillance régulière (en raison de son état de santé), ou tout simplement d'aide pour les actes ordinaires de la vie quotidienne, d’où l’importance de la famille et de l’entourage. </w:t>
      </w:r>
    </w:p>
    <w:p w:rsidR="0007498F" w:rsidRPr="002317F2" w:rsidRDefault="0007498F" w:rsidP="0007498F">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2317F2">
        <w:rPr>
          <w:rFonts w:asciiTheme="majorBidi" w:hAnsiTheme="majorBidi" w:cstheme="majorBidi"/>
          <w:sz w:val="24"/>
          <w:szCs w:val="24"/>
        </w:rPr>
        <w:t xml:space="preserve">Selon les résultats de l’enquête, il se dégage que les personnes âgées qui ne reçoivent aucun soutien, que ce soit sous forme d’un maintien à domicile ou de services rendus à l’extérieur, sont plus nombreuses à se sentir seules que celles qui réjouissent de façon habituelle d’un soutien familial, soit respectivement 84.1% et 80.0% contre 60.3% et 61.0%. </w:t>
      </w:r>
    </w:p>
    <w:p w:rsidR="0007498F" w:rsidRPr="0039019E" w:rsidRDefault="0039019E" w:rsidP="0039019E">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14" w:name="_Toc435217209"/>
      <w:r>
        <w:rPr>
          <w:rStyle w:val="Emphaseple"/>
          <w:rFonts w:asciiTheme="majorBidi" w:hAnsiTheme="majorBidi" w:cstheme="majorBidi"/>
          <w:b/>
          <w:bCs/>
          <w:color w:val="auto"/>
          <w:sz w:val="24"/>
          <w:szCs w:val="24"/>
        </w:rPr>
        <w:t>Tableau 12</w:t>
      </w:r>
      <w:r w:rsidR="0007498F" w:rsidRPr="0039019E">
        <w:rPr>
          <w:rStyle w:val="Emphaseple"/>
          <w:rFonts w:asciiTheme="majorBidi" w:hAnsiTheme="majorBidi" w:cstheme="majorBidi"/>
          <w:b/>
          <w:bCs/>
          <w:color w:val="auto"/>
          <w:sz w:val="24"/>
          <w:szCs w:val="24"/>
        </w:rPr>
        <w:t> : Sentiment de solitude selon l’existence d’un soutien quotidien</w:t>
      </w:r>
      <w:bookmarkEnd w:id="14"/>
    </w:p>
    <w:tbl>
      <w:tblPr>
        <w:tblStyle w:val="ListTable6Colorful-Accent31"/>
        <w:tblW w:w="9204" w:type="dxa"/>
        <w:tblLook w:val="04A0"/>
      </w:tblPr>
      <w:tblGrid>
        <w:gridCol w:w="1862"/>
        <w:gridCol w:w="1537"/>
        <w:gridCol w:w="1691"/>
        <w:gridCol w:w="1612"/>
        <w:gridCol w:w="1616"/>
        <w:gridCol w:w="886"/>
      </w:tblGrid>
      <w:tr w:rsidR="0007498F" w:rsidRPr="002317F2" w:rsidTr="0039019E">
        <w:trPr>
          <w:cnfStyle w:val="100000000000"/>
          <w:trHeight w:val="238"/>
        </w:trPr>
        <w:tc>
          <w:tcPr>
            <w:cnfStyle w:val="001000000000"/>
            <w:tcW w:w="1862" w:type="dxa"/>
            <w:vMerge w:val="restart"/>
            <w:noWrap/>
            <w:hideMark/>
          </w:tcPr>
          <w:p w:rsidR="0007498F" w:rsidRPr="002317F2" w:rsidRDefault="0007498F" w:rsidP="00D35A9F">
            <w:pPr>
              <w:rPr>
                <w:rFonts w:asciiTheme="majorBidi" w:eastAsia="Times New Roman" w:hAnsiTheme="majorBidi" w:cstheme="majorBidi"/>
                <w:sz w:val="24"/>
                <w:szCs w:val="24"/>
              </w:rPr>
            </w:pPr>
          </w:p>
        </w:tc>
        <w:tc>
          <w:tcPr>
            <w:tcW w:w="3228" w:type="dxa"/>
            <w:gridSpan w:val="2"/>
            <w:noWrap/>
            <w:hideMark/>
          </w:tcPr>
          <w:p w:rsidR="0007498F" w:rsidRPr="002317F2" w:rsidRDefault="0007498F" w:rsidP="00D35A9F">
            <w:pPr>
              <w:jc w:val="center"/>
              <w:cnfStyle w:val="1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Soutien quotidien (à l'intérieur)</w:t>
            </w:r>
          </w:p>
        </w:tc>
        <w:tc>
          <w:tcPr>
            <w:tcW w:w="3228" w:type="dxa"/>
            <w:gridSpan w:val="2"/>
            <w:noWrap/>
            <w:hideMark/>
          </w:tcPr>
          <w:p w:rsidR="0007498F" w:rsidRPr="002317F2" w:rsidRDefault="0007498F" w:rsidP="00D35A9F">
            <w:pPr>
              <w:jc w:val="center"/>
              <w:cnfStyle w:val="1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Soutien quotidien (à l'extérieur)</w:t>
            </w:r>
          </w:p>
        </w:tc>
        <w:tc>
          <w:tcPr>
            <w:tcW w:w="886" w:type="dxa"/>
            <w:vMerge w:val="restart"/>
            <w:noWrap/>
            <w:hideMark/>
          </w:tcPr>
          <w:p w:rsidR="0007498F" w:rsidRPr="002317F2" w:rsidRDefault="0007498F" w:rsidP="00D35A9F">
            <w:pPr>
              <w:jc w:val="center"/>
              <w:cnfStyle w:val="1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Total</w:t>
            </w:r>
          </w:p>
        </w:tc>
      </w:tr>
      <w:tr w:rsidR="0007498F" w:rsidRPr="002317F2" w:rsidTr="0039019E">
        <w:trPr>
          <w:cnfStyle w:val="000000100000"/>
          <w:trHeight w:val="238"/>
        </w:trPr>
        <w:tc>
          <w:tcPr>
            <w:cnfStyle w:val="001000000000"/>
            <w:tcW w:w="1862" w:type="dxa"/>
            <w:vMerge/>
            <w:noWrap/>
            <w:hideMark/>
          </w:tcPr>
          <w:p w:rsidR="0007498F" w:rsidRPr="002317F2" w:rsidRDefault="0007498F" w:rsidP="00D35A9F">
            <w:pPr>
              <w:jc w:val="center"/>
              <w:rPr>
                <w:rFonts w:asciiTheme="majorBidi" w:eastAsia="Times New Roman" w:hAnsiTheme="majorBidi" w:cstheme="majorBidi"/>
                <w:color w:val="000000"/>
              </w:rPr>
            </w:pPr>
          </w:p>
        </w:tc>
        <w:tc>
          <w:tcPr>
            <w:tcW w:w="1537" w:type="dxa"/>
            <w:noWrap/>
            <w:hideMark/>
          </w:tcPr>
          <w:p w:rsidR="0007498F" w:rsidRPr="002317F2" w:rsidRDefault="0007498F" w:rsidP="00D35A9F">
            <w:pPr>
              <w:jc w:val="center"/>
              <w:cnfStyle w:val="000000100000"/>
              <w:rPr>
                <w:rFonts w:asciiTheme="majorBidi" w:eastAsia="Times New Roman" w:hAnsiTheme="majorBidi" w:cstheme="majorBidi"/>
                <w:b/>
                <w:bCs/>
                <w:color w:val="000000"/>
              </w:rPr>
            </w:pPr>
            <w:r w:rsidRPr="002317F2">
              <w:rPr>
                <w:rFonts w:asciiTheme="majorBidi" w:eastAsia="Times New Roman" w:hAnsiTheme="majorBidi" w:cstheme="majorBidi"/>
                <w:b/>
                <w:bCs/>
                <w:color w:val="000000"/>
              </w:rPr>
              <w:t>Oui</w:t>
            </w:r>
          </w:p>
        </w:tc>
        <w:tc>
          <w:tcPr>
            <w:tcW w:w="1691" w:type="dxa"/>
            <w:noWrap/>
            <w:hideMark/>
          </w:tcPr>
          <w:p w:rsidR="0007498F" w:rsidRPr="002317F2" w:rsidRDefault="0007498F" w:rsidP="00D35A9F">
            <w:pPr>
              <w:jc w:val="center"/>
              <w:cnfStyle w:val="000000100000"/>
              <w:rPr>
                <w:rFonts w:asciiTheme="majorBidi" w:eastAsia="Times New Roman" w:hAnsiTheme="majorBidi" w:cstheme="majorBidi"/>
                <w:b/>
                <w:bCs/>
                <w:color w:val="000000"/>
              </w:rPr>
            </w:pPr>
            <w:r w:rsidRPr="002317F2">
              <w:rPr>
                <w:rFonts w:asciiTheme="majorBidi" w:eastAsia="Times New Roman" w:hAnsiTheme="majorBidi" w:cstheme="majorBidi"/>
                <w:b/>
                <w:bCs/>
                <w:color w:val="000000"/>
              </w:rPr>
              <w:t>Non</w:t>
            </w:r>
          </w:p>
        </w:tc>
        <w:tc>
          <w:tcPr>
            <w:tcW w:w="1612" w:type="dxa"/>
            <w:noWrap/>
            <w:hideMark/>
          </w:tcPr>
          <w:p w:rsidR="0007498F" w:rsidRPr="002317F2" w:rsidRDefault="0007498F" w:rsidP="00D35A9F">
            <w:pPr>
              <w:jc w:val="center"/>
              <w:cnfStyle w:val="000000100000"/>
              <w:rPr>
                <w:rFonts w:asciiTheme="majorBidi" w:eastAsia="Times New Roman" w:hAnsiTheme="majorBidi" w:cstheme="majorBidi"/>
                <w:b/>
                <w:bCs/>
                <w:color w:val="000000"/>
              </w:rPr>
            </w:pPr>
            <w:r w:rsidRPr="002317F2">
              <w:rPr>
                <w:rFonts w:asciiTheme="majorBidi" w:eastAsia="Times New Roman" w:hAnsiTheme="majorBidi" w:cstheme="majorBidi"/>
                <w:b/>
                <w:bCs/>
                <w:color w:val="000000"/>
              </w:rPr>
              <w:t>Oui</w:t>
            </w:r>
          </w:p>
        </w:tc>
        <w:tc>
          <w:tcPr>
            <w:tcW w:w="1615" w:type="dxa"/>
            <w:noWrap/>
            <w:hideMark/>
          </w:tcPr>
          <w:p w:rsidR="0007498F" w:rsidRPr="002317F2" w:rsidRDefault="0007498F" w:rsidP="00D35A9F">
            <w:pPr>
              <w:jc w:val="center"/>
              <w:cnfStyle w:val="000000100000"/>
              <w:rPr>
                <w:rFonts w:asciiTheme="majorBidi" w:eastAsia="Times New Roman" w:hAnsiTheme="majorBidi" w:cstheme="majorBidi"/>
                <w:b/>
                <w:bCs/>
                <w:color w:val="000000"/>
              </w:rPr>
            </w:pPr>
            <w:r w:rsidRPr="002317F2">
              <w:rPr>
                <w:rFonts w:asciiTheme="majorBidi" w:eastAsia="Times New Roman" w:hAnsiTheme="majorBidi" w:cstheme="majorBidi"/>
                <w:b/>
                <w:bCs/>
                <w:color w:val="000000"/>
              </w:rPr>
              <w:t xml:space="preserve"> Non</w:t>
            </w:r>
          </w:p>
        </w:tc>
        <w:tc>
          <w:tcPr>
            <w:tcW w:w="886" w:type="dxa"/>
            <w:vMerge/>
            <w:hideMark/>
          </w:tcPr>
          <w:p w:rsidR="0007498F" w:rsidRPr="002317F2" w:rsidRDefault="0007498F" w:rsidP="00D35A9F">
            <w:pPr>
              <w:cnfStyle w:val="000000100000"/>
              <w:rPr>
                <w:rFonts w:asciiTheme="majorBidi" w:eastAsia="Times New Roman" w:hAnsiTheme="majorBidi" w:cstheme="majorBidi"/>
                <w:color w:val="000000"/>
              </w:rPr>
            </w:pPr>
          </w:p>
        </w:tc>
      </w:tr>
      <w:tr w:rsidR="0007498F" w:rsidRPr="002317F2" w:rsidTr="0039019E">
        <w:trPr>
          <w:trHeight w:val="238"/>
        </w:trPr>
        <w:tc>
          <w:tcPr>
            <w:cnfStyle w:val="001000000000"/>
            <w:tcW w:w="1862" w:type="dxa"/>
            <w:noWrap/>
            <w:hideMark/>
          </w:tcPr>
          <w:p w:rsidR="0007498F" w:rsidRPr="002317F2" w:rsidRDefault="0007498F" w:rsidP="00D35A9F">
            <w:pPr>
              <w:rPr>
                <w:rFonts w:asciiTheme="majorBidi" w:eastAsia="Times New Roman" w:hAnsiTheme="majorBidi" w:cstheme="majorBidi"/>
                <w:color w:val="000000"/>
              </w:rPr>
            </w:pPr>
            <w:r w:rsidRPr="002317F2">
              <w:rPr>
                <w:rFonts w:asciiTheme="majorBidi" w:eastAsia="Times New Roman" w:hAnsiTheme="majorBidi" w:cstheme="majorBidi"/>
                <w:color w:val="000000"/>
              </w:rPr>
              <w:t>Solitude</w:t>
            </w:r>
          </w:p>
        </w:tc>
        <w:tc>
          <w:tcPr>
            <w:tcW w:w="1537" w:type="dxa"/>
            <w:noWrap/>
            <w:hideMark/>
          </w:tcPr>
          <w:p w:rsidR="0007498F" w:rsidRPr="002317F2" w:rsidRDefault="0007498F" w:rsidP="00D35A9F">
            <w:pPr>
              <w:jc w:val="center"/>
              <w:cnfStyle w:val="0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 xml:space="preserve">60.34 </w:t>
            </w:r>
          </w:p>
        </w:tc>
        <w:tc>
          <w:tcPr>
            <w:tcW w:w="1691" w:type="dxa"/>
            <w:noWrap/>
            <w:hideMark/>
          </w:tcPr>
          <w:p w:rsidR="0007498F" w:rsidRPr="002317F2" w:rsidRDefault="0007498F" w:rsidP="00D35A9F">
            <w:pPr>
              <w:jc w:val="center"/>
              <w:cnfStyle w:val="0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 xml:space="preserve"> 84.12 </w:t>
            </w:r>
          </w:p>
        </w:tc>
        <w:tc>
          <w:tcPr>
            <w:tcW w:w="1612" w:type="dxa"/>
            <w:noWrap/>
            <w:hideMark/>
          </w:tcPr>
          <w:p w:rsidR="0007498F" w:rsidRPr="002317F2" w:rsidRDefault="0007498F" w:rsidP="00D35A9F">
            <w:pPr>
              <w:jc w:val="center"/>
              <w:cnfStyle w:val="0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61.02</w:t>
            </w:r>
          </w:p>
        </w:tc>
        <w:tc>
          <w:tcPr>
            <w:tcW w:w="1615" w:type="dxa"/>
            <w:noWrap/>
            <w:hideMark/>
          </w:tcPr>
          <w:p w:rsidR="0007498F" w:rsidRPr="002317F2" w:rsidRDefault="0007498F" w:rsidP="00D35A9F">
            <w:pPr>
              <w:jc w:val="center"/>
              <w:cnfStyle w:val="0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80.02</w:t>
            </w:r>
          </w:p>
        </w:tc>
        <w:tc>
          <w:tcPr>
            <w:tcW w:w="886" w:type="dxa"/>
            <w:noWrap/>
            <w:hideMark/>
          </w:tcPr>
          <w:p w:rsidR="0007498F" w:rsidRPr="002317F2" w:rsidRDefault="0007498F" w:rsidP="00D35A9F">
            <w:pPr>
              <w:jc w:val="center"/>
              <w:cnfStyle w:val="000000000000"/>
              <w:rPr>
                <w:rFonts w:asciiTheme="majorBidi" w:eastAsia="Times New Roman" w:hAnsiTheme="majorBidi" w:cstheme="majorBidi"/>
                <w:color w:val="000000"/>
              </w:rPr>
            </w:pPr>
            <w:r w:rsidRPr="002317F2">
              <w:rPr>
                <w:rFonts w:asciiTheme="majorBidi" w:eastAsia="Times New Roman" w:hAnsiTheme="majorBidi" w:cstheme="majorBidi"/>
                <w:color w:val="000000"/>
              </w:rPr>
              <w:t xml:space="preserve">63.13 </w:t>
            </w:r>
          </w:p>
        </w:tc>
      </w:tr>
      <w:tr w:rsidR="0007498F" w:rsidRPr="002317F2" w:rsidTr="0039019E">
        <w:trPr>
          <w:cnfStyle w:val="000000100000"/>
          <w:trHeight w:val="238"/>
        </w:trPr>
        <w:tc>
          <w:tcPr>
            <w:cnfStyle w:val="001000000000"/>
            <w:tcW w:w="1862" w:type="dxa"/>
            <w:noWrap/>
            <w:hideMark/>
          </w:tcPr>
          <w:p w:rsidR="0007498F" w:rsidRPr="002317F2" w:rsidRDefault="0007498F" w:rsidP="00D35A9F">
            <w:pPr>
              <w:rPr>
                <w:rFonts w:asciiTheme="majorBidi" w:eastAsia="Times New Roman" w:hAnsiTheme="majorBidi" w:cstheme="majorBidi"/>
                <w:color w:val="000000"/>
              </w:rPr>
            </w:pPr>
            <w:r w:rsidRPr="002317F2">
              <w:rPr>
                <w:rFonts w:asciiTheme="majorBidi" w:eastAsia="Times New Roman" w:hAnsiTheme="majorBidi" w:cstheme="majorBidi"/>
                <w:color w:val="000000"/>
              </w:rPr>
              <w:t>Pas de solitude</w:t>
            </w:r>
          </w:p>
        </w:tc>
        <w:tc>
          <w:tcPr>
            <w:tcW w:w="1537" w:type="dxa"/>
            <w:noWrap/>
            <w:hideMark/>
          </w:tcPr>
          <w:p w:rsidR="0007498F" w:rsidRPr="002317F2" w:rsidRDefault="0007498F" w:rsidP="00D35A9F">
            <w:pPr>
              <w:jc w:val="center"/>
              <w:cnfStyle w:val="000000100000"/>
              <w:rPr>
                <w:rFonts w:asciiTheme="majorBidi" w:eastAsia="Times New Roman" w:hAnsiTheme="majorBidi" w:cstheme="majorBidi"/>
                <w:color w:val="000000"/>
              </w:rPr>
            </w:pPr>
            <w:r w:rsidRPr="002317F2">
              <w:rPr>
                <w:rFonts w:asciiTheme="majorBidi" w:eastAsia="Times New Roman" w:hAnsiTheme="majorBidi" w:cstheme="majorBidi"/>
                <w:color w:val="000000"/>
              </w:rPr>
              <w:t>39.66</w:t>
            </w:r>
          </w:p>
        </w:tc>
        <w:tc>
          <w:tcPr>
            <w:tcW w:w="1691" w:type="dxa"/>
            <w:noWrap/>
            <w:hideMark/>
          </w:tcPr>
          <w:p w:rsidR="0007498F" w:rsidRPr="002317F2" w:rsidRDefault="0007498F" w:rsidP="00D35A9F">
            <w:pPr>
              <w:jc w:val="center"/>
              <w:cnfStyle w:val="000000100000"/>
              <w:rPr>
                <w:rFonts w:asciiTheme="majorBidi" w:eastAsia="Times New Roman" w:hAnsiTheme="majorBidi" w:cstheme="majorBidi"/>
                <w:color w:val="000000"/>
              </w:rPr>
            </w:pPr>
            <w:r w:rsidRPr="002317F2">
              <w:rPr>
                <w:rFonts w:asciiTheme="majorBidi" w:eastAsia="Times New Roman" w:hAnsiTheme="majorBidi" w:cstheme="majorBidi"/>
                <w:color w:val="000000"/>
              </w:rPr>
              <w:t xml:space="preserve">15.88 </w:t>
            </w:r>
          </w:p>
        </w:tc>
        <w:tc>
          <w:tcPr>
            <w:tcW w:w="1612" w:type="dxa"/>
            <w:noWrap/>
            <w:hideMark/>
          </w:tcPr>
          <w:p w:rsidR="0007498F" w:rsidRPr="002317F2" w:rsidRDefault="0007498F" w:rsidP="00D35A9F">
            <w:pPr>
              <w:jc w:val="center"/>
              <w:cnfStyle w:val="000000100000"/>
              <w:rPr>
                <w:rFonts w:asciiTheme="majorBidi" w:eastAsia="Times New Roman" w:hAnsiTheme="majorBidi" w:cstheme="majorBidi"/>
                <w:color w:val="000000"/>
              </w:rPr>
            </w:pPr>
            <w:r w:rsidRPr="002317F2">
              <w:rPr>
                <w:rFonts w:asciiTheme="majorBidi" w:eastAsia="Times New Roman" w:hAnsiTheme="majorBidi" w:cstheme="majorBidi"/>
                <w:color w:val="000000"/>
              </w:rPr>
              <w:t>38.98</w:t>
            </w:r>
          </w:p>
        </w:tc>
        <w:tc>
          <w:tcPr>
            <w:tcW w:w="1615" w:type="dxa"/>
            <w:noWrap/>
            <w:hideMark/>
          </w:tcPr>
          <w:p w:rsidR="0007498F" w:rsidRPr="002317F2" w:rsidRDefault="0007498F" w:rsidP="00D35A9F">
            <w:pPr>
              <w:jc w:val="center"/>
              <w:cnfStyle w:val="000000100000"/>
              <w:rPr>
                <w:rFonts w:asciiTheme="majorBidi" w:eastAsia="Times New Roman" w:hAnsiTheme="majorBidi" w:cstheme="majorBidi"/>
                <w:color w:val="000000"/>
              </w:rPr>
            </w:pPr>
            <w:r w:rsidRPr="002317F2">
              <w:rPr>
                <w:rFonts w:asciiTheme="majorBidi" w:eastAsia="Times New Roman" w:hAnsiTheme="majorBidi" w:cstheme="majorBidi"/>
                <w:color w:val="000000"/>
              </w:rPr>
              <w:t xml:space="preserve">19.98 </w:t>
            </w:r>
          </w:p>
        </w:tc>
        <w:tc>
          <w:tcPr>
            <w:tcW w:w="886" w:type="dxa"/>
            <w:noWrap/>
            <w:hideMark/>
          </w:tcPr>
          <w:p w:rsidR="0007498F" w:rsidRPr="002317F2" w:rsidRDefault="0007498F" w:rsidP="00D35A9F">
            <w:pPr>
              <w:jc w:val="center"/>
              <w:cnfStyle w:val="000000100000"/>
              <w:rPr>
                <w:rFonts w:asciiTheme="majorBidi" w:eastAsia="Times New Roman" w:hAnsiTheme="majorBidi" w:cstheme="majorBidi"/>
                <w:color w:val="000000"/>
              </w:rPr>
            </w:pPr>
            <w:r w:rsidRPr="002317F2">
              <w:rPr>
                <w:rFonts w:asciiTheme="majorBidi" w:eastAsia="Times New Roman" w:hAnsiTheme="majorBidi" w:cstheme="majorBidi"/>
                <w:color w:val="000000"/>
              </w:rPr>
              <w:t xml:space="preserve">36.87 </w:t>
            </w:r>
          </w:p>
        </w:tc>
      </w:tr>
    </w:tbl>
    <w:p w:rsidR="0007498F" w:rsidRPr="002317F2" w:rsidRDefault="0007498F" w:rsidP="0007498F">
      <w:pPr>
        <w:rPr>
          <w:rFonts w:asciiTheme="majorBidi" w:hAnsiTheme="majorBidi" w:cstheme="majorBidi"/>
        </w:rPr>
      </w:pPr>
      <w:r w:rsidRPr="002317F2">
        <w:rPr>
          <w:rFonts w:asciiTheme="majorBidi" w:hAnsiTheme="majorBidi" w:cstheme="majorBidi"/>
        </w:rPr>
        <w:t>Source : Traitements effectués par les auteurs à partir des données de l’ENPA 2006, HCP.</w:t>
      </w:r>
    </w:p>
    <w:p w:rsidR="0007498F" w:rsidRDefault="0007498F" w:rsidP="0007498F">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2317F2">
        <w:rPr>
          <w:rFonts w:asciiTheme="majorBidi" w:hAnsiTheme="majorBidi" w:cstheme="majorBidi"/>
          <w:sz w:val="24"/>
          <w:szCs w:val="24"/>
        </w:rPr>
        <w:lastRenderedPageBreak/>
        <w:t xml:space="preserve">Il semble enfin que l'existence d'une assistance quotidienne pour l’accomplissement des tâches domestiques ou des tâches à l’extérieur du foyer défavorise légèrement la naissance d'un sentiment de solitude chez les âgés. </w:t>
      </w:r>
    </w:p>
    <w:p w:rsidR="0039019E" w:rsidRPr="0039019E" w:rsidRDefault="0039019E" w:rsidP="0039019E">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39019E">
        <w:rPr>
          <w:rFonts w:asciiTheme="majorBidi" w:hAnsiTheme="majorBidi" w:cstheme="majorBidi"/>
          <w:sz w:val="24"/>
          <w:szCs w:val="24"/>
        </w:rPr>
        <w:t>Comme on pouvait s'y attendre, la variable «état matrimonial» montre que le sentiment de solitude est relativement le plus faible parmi les personnes âgées mariées.</w:t>
      </w:r>
      <w:r w:rsidRPr="0039019E">
        <w:rPr>
          <w:rFonts w:asciiTheme="majorBidi" w:hAnsiTheme="majorBidi" w:cstheme="majorBidi"/>
          <w:sz w:val="24"/>
          <w:szCs w:val="24"/>
        </w:rPr>
        <w:br/>
        <w:t>Le sentiment de solitude permanent est plus répandu parmi les célibataires (66,8%) ce qui paraît normal eu égard au fait que les mariés (28.2%), divorcés (49.0%) et veufs (52.6%) sont supposés avoir des enfants et par conséquent être moins victimes d'un tel sentiment. Notons ainsi que 44.5% des personnes âgées mariées déclarent ne pas en souffrir.</w:t>
      </w:r>
    </w:p>
    <w:p w:rsidR="0039019E" w:rsidRPr="0039019E" w:rsidRDefault="0039019E" w:rsidP="0039019E">
      <w:pPr>
        <w:pStyle w:val="Sous-titre"/>
        <w:numPr>
          <w:ilvl w:val="0"/>
          <w:numId w:val="0"/>
        </w:numPr>
        <w:spacing w:before="100" w:beforeAutospacing="1" w:after="0"/>
        <w:jc w:val="center"/>
        <w:rPr>
          <w:rStyle w:val="Emphaseple"/>
          <w:rFonts w:asciiTheme="majorBidi" w:hAnsiTheme="majorBidi" w:cstheme="majorBidi"/>
          <w:b/>
          <w:bCs/>
          <w:color w:val="auto"/>
          <w:sz w:val="24"/>
          <w:szCs w:val="24"/>
        </w:rPr>
      </w:pPr>
      <w:bookmarkStart w:id="15" w:name="_Toc435217210"/>
      <w:r>
        <w:rPr>
          <w:rStyle w:val="Emphaseple"/>
          <w:rFonts w:asciiTheme="majorBidi" w:hAnsiTheme="majorBidi" w:cstheme="majorBidi"/>
          <w:b/>
          <w:bCs/>
          <w:color w:val="auto"/>
          <w:sz w:val="24"/>
          <w:szCs w:val="24"/>
        </w:rPr>
        <w:t>Tableau 13</w:t>
      </w:r>
      <w:r w:rsidRPr="0039019E">
        <w:rPr>
          <w:rStyle w:val="Emphaseple"/>
          <w:rFonts w:asciiTheme="majorBidi" w:hAnsiTheme="majorBidi" w:cstheme="majorBidi"/>
          <w:b/>
          <w:bCs/>
          <w:color w:val="auto"/>
          <w:sz w:val="24"/>
          <w:szCs w:val="24"/>
        </w:rPr>
        <w:t> : répartition des personnes âgées selon le degré de solitude ressentie et l’état matrimonial</w:t>
      </w:r>
      <w:bookmarkEnd w:id="15"/>
    </w:p>
    <w:tbl>
      <w:tblPr>
        <w:tblStyle w:val="ListTable6Colorful-Accent31"/>
        <w:tblW w:w="8755" w:type="dxa"/>
        <w:tblLayout w:type="fixed"/>
        <w:tblLook w:val="04A0"/>
      </w:tblPr>
      <w:tblGrid>
        <w:gridCol w:w="3670"/>
        <w:gridCol w:w="1057"/>
        <w:gridCol w:w="1058"/>
        <w:gridCol w:w="1058"/>
        <w:gridCol w:w="1058"/>
        <w:gridCol w:w="854"/>
      </w:tblGrid>
      <w:tr w:rsidR="0039019E" w:rsidRPr="0039019E" w:rsidTr="0039019E">
        <w:trPr>
          <w:cnfStyle w:val="100000000000"/>
          <w:trHeight w:val="279"/>
        </w:trPr>
        <w:tc>
          <w:tcPr>
            <w:cnfStyle w:val="001000000000"/>
            <w:tcW w:w="3670" w:type="dxa"/>
            <w:vMerge w:val="restart"/>
          </w:tcPr>
          <w:p w:rsidR="0039019E" w:rsidRPr="0039019E" w:rsidRDefault="0039019E" w:rsidP="00D35A9F">
            <w:pPr>
              <w:jc w:val="center"/>
              <w:rPr>
                <w:rFonts w:asciiTheme="majorBidi" w:hAnsiTheme="majorBidi" w:cstheme="majorBidi"/>
                <w:bCs w:val="0"/>
                <w:color w:val="auto"/>
                <w:sz w:val="24"/>
                <w:szCs w:val="24"/>
              </w:rPr>
            </w:pPr>
          </w:p>
          <w:p w:rsidR="0039019E" w:rsidRPr="0039019E" w:rsidRDefault="0039019E" w:rsidP="00D35A9F">
            <w:pPr>
              <w:jc w:val="center"/>
              <w:rPr>
                <w:rFonts w:asciiTheme="majorBidi" w:hAnsiTheme="majorBidi" w:cstheme="majorBidi"/>
                <w:bCs w:val="0"/>
                <w:color w:val="auto"/>
                <w:sz w:val="24"/>
                <w:szCs w:val="24"/>
              </w:rPr>
            </w:pPr>
            <w:r w:rsidRPr="0039019E">
              <w:rPr>
                <w:rFonts w:asciiTheme="majorBidi" w:hAnsiTheme="majorBidi" w:cstheme="majorBidi"/>
                <w:bCs w:val="0"/>
                <w:color w:val="auto"/>
                <w:sz w:val="24"/>
                <w:szCs w:val="24"/>
              </w:rPr>
              <w:t>Degré de solitude</w:t>
            </w:r>
          </w:p>
        </w:tc>
        <w:tc>
          <w:tcPr>
            <w:tcW w:w="4231" w:type="dxa"/>
            <w:gridSpan w:val="4"/>
          </w:tcPr>
          <w:p w:rsidR="0039019E" w:rsidRPr="0039019E" w:rsidRDefault="0039019E" w:rsidP="00D35A9F">
            <w:pPr>
              <w:jc w:val="center"/>
              <w:cnfStyle w:val="100000000000"/>
              <w:rPr>
                <w:rFonts w:asciiTheme="majorBidi" w:hAnsiTheme="majorBidi" w:cstheme="majorBidi"/>
                <w:color w:val="auto"/>
                <w:sz w:val="24"/>
                <w:szCs w:val="24"/>
              </w:rPr>
            </w:pPr>
            <w:r w:rsidRPr="0039019E">
              <w:rPr>
                <w:rFonts w:asciiTheme="majorBidi" w:hAnsiTheme="majorBidi" w:cstheme="majorBidi"/>
                <w:bCs w:val="0"/>
                <w:color w:val="auto"/>
                <w:sz w:val="24"/>
                <w:szCs w:val="24"/>
              </w:rPr>
              <w:t>État matrimonial</w:t>
            </w:r>
          </w:p>
        </w:tc>
        <w:tc>
          <w:tcPr>
            <w:tcW w:w="854" w:type="dxa"/>
            <w:vMerge w:val="restart"/>
          </w:tcPr>
          <w:p w:rsidR="0039019E" w:rsidRPr="0039019E" w:rsidRDefault="0039019E" w:rsidP="00D35A9F">
            <w:pPr>
              <w:jc w:val="center"/>
              <w:cnfStyle w:val="100000000000"/>
              <w:rPr>
                <w:rFonts w:asciiTheme="majorBidi" w:hAnsiTheme="majorBidi" w:cstheme="majorBidi"/>
                <w:color w:val="auto"/>
                <w:sz w:val="24"/>
                <w:szCs w:val="24"/>
              </w:rPr>
            </w:pPr>
          </w:p>
          <w:p w:rsidR="0039019E" w:rsidRPr="0039019E" w:rsidRDefault="0039019E" w:rsidP="00D35A9F">
            <w:pPr>
              <w:jc w:val="center"/>
              <w:cnfStyle w:val="100000000000"/>
              <w:rPr>
                <w:rFonts w:asciiTheme="majorBidi" w:hAnsiTheme="majorBidi" w:cstheme="majorBidi"/>
                <w:color w:val="auto"/>
                <w:sz w:val="24"/>
                <w:szCs w:val="24"/>
              </w:rPr>
            </w:pPr>
            <w:r w:rsidRPr="0039019E">
              <w:rPr>
                <w:rFonts w:asciiTheme="majorBidi" w:hAnsiTheme="majorBidi" w:cstheme="majorBidi"/>
                <w:bCs w:val="0"/>
                <w:color w:val="auto"/>
                <w:sz w:val="24"/>
                <w:szCs w:val="24"/>
              </w:rPr>
              <w:t>Total</w:t>
            </w:r>
          </w:p>
        </w:tc>
      </w:tr>
      <w:tr w:rsidR="0039019E" w:rsidRPr="0039019E" w:rsidTr="0039019E">
        <w:trPr>
          <w:cnfStyle w:val="000000100000"/>
          <w:trHeight w:val="561"/>
        </w:trPr>
        <w:tc>
          <w:tcPr>
            <w:cnfStyle w:val="001000000000"/>
            <w:tcW w:w="3670" w:type="dxa"/>
            <w:vMerge/>
          </w:tcPr>
          <w:p w:rsidR="0039019E" w:rsidRPr="0039019E" w:rsidRDefault="0039019E" w:rsidP="00D35A9F">
            <w:pPr>
              <w:rPr>
                <w:rFonts w:asciiTheme="majorBidi" w:hAnsiTheme="majorBidi" w:cstheme="majorBidi"/>
                <w:bCs w:val="0"/>
                <w:color w:val="auto"/>
                <w:sz w:val="24"/>
                <w:szCs w:val="24"/>
              </w:rPr>
            </w:pPr>
          </w:p>
        </w:tc>
        <w:tc>
          <w:tcPr>
            <w:tcW w:w="1057" w:type="dxa"/>
          </w:tcPr>
          <w:p w:rsidR="0039019E" w:rsidRPr="0039019E" w:rsidRDefault="0039019E" w:rsidP="00D35A9F">
            <w:pPr>
              <w:jc w:val="center"/>
              <w:cnfStyle w:val="000000100000"/>
              <w:rPr>
                <w:rFonts w:asciiTheme="majorBidi" w:hAnsiTheme="majorBidi" w:cstheme="majorBidi"/>
                <w:b/>
                <w:color w:val="auto"/>
                <w:sz w:val="24"/>
                <w:szCs w:val="24"/>
              </w:rPr>
            </w:pPr>
            <w:r w:rsidRPr="0039019E">
              <w:rPr>
                <w:rFonts w:asciiTheme="majorBidi" w:hAnsiTheme="majorBidi" w:cstheme="majorBidi"/>
                <w:b/>
                <w:color w:val="auto"/>
                <w:sz w:val="24"/>
                <w:szCs w:val="24"/>
              </w:rPr>
              <w:t>Célibataire</w:t>
            </w:r>
          </w:p>
        </w:tc>
        <w:tc>
          <w:tcPr>
            <w:tcW w:w="1058" w:type="dxa"/>
          </w:tcPr>
          <w:p w:rsidR="0039019E" w:rsidRPr="0039019E" w:rsidRDefault="0039019E" w:rsidP="00D35A9F">
            <w:pPr>
              <w:jc w:val="center"/>
              <w:cnfStyle w:val="000000100000"/>
              <w:rPr>
                <w:rFonts w:asciiTheme="majorBidi" w:hAnsiTheme="majorBidi" w:cstheme="majorBidi"/>
                <w:b/>
                <w:color w:val="auto"/>
                <w:sz w:val="24"/>
                <w:szCs w:val="24"/>
              </w:rPr>
            </w:pPr>
            <w:r w:rsidRPr="0039019E">
              <w:rPr>
                <w:rFonts w:asciiTheme="majorBidi" w:hAnsiTheme="majorBidi" w:cstheme="majorBidi"/>
                <w:b/>
                <w:color w:val="auto"/>
                <w:sz w:val="24"/>
                <w:szCs w:val="24"/>
              </w:rPr>
              <w:t>Marié</w:t>
            </w:r>
          </w:p>
        </w:tc>
        <w:tc>
          <w:tcPr>
            <w:tcW w:w="1058" w:type="dxa"/>
          </w:tcPr>
          <w:p w:rsidR="0039019E" w:rsidRPr="0039019E" w:rsidRDefault="0039019E" w:rsidP="00D35A9F">
            <w:pPr>
              <w:jc w:val="center"/>
              <w:cnfStyle w:val="000000100000"/>
              <w:rPr>
                <w:rFonts w:asciiTheme="majorBidi" w:hAnsiTheme="majorBidi" w:cstheme="majorBidi"/>
                <w:b/>
                <w:color w:val="auto"/>
                <w:sz w:val="24"/>
                <w:szCs w:val="24"/>
              </w:rPr>
            </w:pPr>
            <w:r w:rsidRPr="0039019E">
              <w:rPr>
                <w:rFonts w:asciiTheme="majorBidi" w:hAnsiTheme="majorBidi" w:cstheme="majorBidi"/>
                <w:b/>
                <w:color w:val="auto"/>
                <w:sz w:val="24"/>
                <w:szCs w:val="24"/>
              </w:rPr>
              <w:t>Divorcé</w:t>
            </w:r>
          </w:p>
        </w:tc>
        <w:tc>
          <w:tcPr>
            <w:tcW w:w="1058" w:type="dxa"/>
          </w:tcPr>
          <w:p w:rsidR="0039019E" w:rsidRPr="0039019E" w:rsidRDefault="0039019E" w:rsidP="00D35A9F">
            <w:pPr>
              <w:jc w:val="center"/>
              <w:cnfStyle w:val="000000100000"/>
              <w:rPr>
                <w:rFonts w:asciiTheme="majorBidi" w:hAnsiTheme="majorBidi" w:cstheme="majorBidi"/>
                <w:b/>
                <w:color w:val="auto"/>
                <w:sz w:val="24"/>
                <w:szCs w:val="24"/>
              </w:rPr>
            </w:pPr>
            <w:r w:rsidRPr="0039019E">
              <w:rPr>
                <w:rFonts w:asciiTheme="majorBidi" w:hAnsiTheme="majorBidi" w:cstheme="majorBidi"/>
                <w:b/>
                <w:color w:val="auto"/>
                <w:sz w:val="24"/>
                <w:szCs w:val="24"/>
              </w:rPr>
              <w:t>Veuf</w:t>
            </w:r>
          </w:p>
        </w:tc>
        <w:tc>
          <w:tcPr>
            <w:tcW w:w="854" w:type="dxa"/>
            <w:vMerge/>
          </w:tcPr>
          <w:p w:rsidR="0039019E" w:rsidRPr="0039019E" w:rsidRDefault="0039019E" w:rsidP="00D35A9F">
            <w:pPr>
              <w:jc w:val="center"/>
              <w:cnfStyle w:val="000000100000"/>
              <w:rPr>
                <w:rFonts w:asciiTheme="majorBidi" w:hAnsiTheme="majorBidi" w:cstheme="majorBidi"/>
                <w:color w:val="auto"/>
                <w:sz w:val="24"/>
                <w:szCs w:val="24"/>
              </w:rPr>
            </w:pPr>
          </w:p>
        </w:tc>
      </w:tr>
      <w:tr w:rsidR="0039019E" w:rsidRPr="0039019E" w:rsidTr="0039019E">
        <w:trPr>
          <w:trHeight w:val="267"/>
        </w:trPr>
        <w:tc>
          <w:tcPr>
            <w:cnfStyle w:val="001000000000"/>
            <w:tcW w:w="3670" w:type="dxa"/>
          </w:tcPr>
          <w:p w:rsidR="0039019E" w:rsidRPr="0039019E" w:rsidRDefault="0039019E" w:rsidP="00D35A9F">
            <w:pPr>
              <w:rPr>
                <w:rFonts w:asciiTheme="majorBidi" w:hAnsiTheme="majorBidi" w:cstheme="majorBidi"/>
                <w:bCs w:val="0"/>
                <w:color w:val="auto"/>
                <w:sz w:val="24"/>
                <w:szCs w:val="24"/>
              </w:rPr>
            </w:pPr>
            <w:r w:rsidRPr="0039019E">
              <w:rPr>
                <w:rFonts w:asciiTheme="majorBidi" w:hAnsiTheme="majorBidi" w:cstheme="majorBidi"/>
                <w:bCs w:val="0"/>
                <w:color w:val="auto"/>
                <w:sz w:val="24"/>
                <w:szCs w:val="24"/>
              </w:rPr>
              <w:t>Permanent</w:t>
            </w:r>
          </w:p>
        </w:tc>
        <w:tc>
          <w:tcPr>
            <w:tcW w:w="1057"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66.8</w:t>
            </w:r>
          </w:p>
        </w:tc>
        <w:tc>
          <w:tcPr>
            <w:tcW w:w="1058"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28.2</w:t>
            </w:r>
          </w:p>
        </w:tc>
        <w:tc>
          <w:tcPr>
            <w:tcW w:w="1058"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49.0</w:t>
            </w:r>
          </w:p>
        </w:tc>
        <w:tc>
          <w:tcPr>
            <w:tcW w:w="1058"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52.6</w:t>
            </w:r>
          </w:p>
        </w:tc>
        <w:tc>
          <w:tcPr>
            <w:tcW w:w="854"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38.1</w:t>
            </w:r>
          </w:p>
        </w:tc>
      </w:tr>
      <w:tr w:rsidR="0039019E" w:rsidRPr="0039019E" w:rsidTr="0039019E">
        <w:trPr>
          <w:cnfStyle w:val="000000100000"/>
          <w:trHeight w:val="279"/>
        </w:trPr>
        <w:tc>
          <w:tcPr>
            <w:cnfStyle w:val="001000000000"/>
            <w:tcW w:w="3670" w:type="dxa"/>
          </w:tcPr>
          <w:p w:rsidR="0039019E" w:rsidRPr="0039019E" w:rsidRDefault="0039019E" w:rsidP="00D35A9F">
            <w:pPr>
              <w:rPr>
                <w:rFonts w:asciiTheme="majorBidi" w:hAnsiTheme="majorBidi" w:cstheme="majorBidi"/>
                <w:bCs w:val="0"/>
                <w:color w:val="auto"/>
                <w:sz w:val="24"/>
                <w:szCs w:val="24"/>
              </w:rPr>
            </w:pPr>
            <w:r w:rsidRPr="0039019E">
              <w:rPr>
                <w:rFonts w:asciiTheme="majorBidi" w:hAnsiTheme="majorBidi" w:cstheme="majorBidi"/>
                <w:bCs w:val="0"/>
                <w:color w:val="auto"/>
                <w:sz w:val="24"/>
                <w:szCs w:val="24"/>
              </w:rPr>
              <w:t>Occasionnel</w:t>
            </w:r>
          </w:p>
        </w:tc>
        <w:tc>
          <w:tcPr>
            <w:tcW w:w="1057" w:type="dxa"/>
          </w:tcPr>
          <w:p w:rsidR="0039019E" w:rsidRPr="0039019E" w:rsidRDefault="0039019E" w:rsidP="00D35A9F">
            <w:pPr>
              <w:jc w:val="center"/>
              <w:cnfStyle w:val="000000100000"/>
              <w:rPr>
                <w:rFonts w:asciiTheme="majorBidi" w:hAnsiTheme="majorBidi" w:cstheme="majorBidi"/>
                <w:color w:val="auto"/>
                <w:sz w:val="24"/>
                <w:szCs w:val="24"/>
              </w:rPr>
            </w:pPr>
            <w:r w:rsidRPr="0039019E">
              <w:rPr>
                <w:rFonts w:asciiTheme="majorBidi" w:hAnsiTheme="majorBidi" w:cstheme="majorBidi"/>
                <w:color w:val="auto"/>
                <w:sz w:val="24"/>
                <w:szCs w:val="24"/>
              </w:rPr>
              <w:t>4.4</w:t>
            </w:r>
          </w:p>
        </w:tc>
        <w:tc>
          <w:tcPr>
            <w:tcW w:w="1058" w:type="dxa"/>
          </w:tcPr>
          <w:p w:rsidR="0039019E" w:rsidRPr="0039019E" w:rsidRDefault="0039019E" w:rsidP="00D35A9F">
            <w:pPr>
              <w:jc w:val="center"/>
              <w:cnfStyle w:val="000000100000"/>
              <w:rPr>
                <w:rFonts w:asciiTheme="majorBidi" w:hAnsiTheme="majorBidi" w:cstheme="majorBidi"/>
                <w:color w:val="auto"/>
                <w:sz w:val="24"/>
                <w:szCs w:val="24"/>
              </w:rPr>
            </w:pPr>
            <w:r w:rsidRPr="0039019E">
              <w:rPr>
                <w:rFonts w:asciiTheme="majorBidi" w:hAnsiTheme="majorBidi" w:cstheme="majorBidi"/>
                <w:color w:val="auto"/>
                <w:sz w:val="24"/>
                <w:szCs w:val="24"/>
              </w:rPr>
              <w:t>27.3</w:t>
            </w:r>
          </w:p>
        </w:tc>
        <w:tc>
          <w:tcPr>
            <w:tcW w:w="1058" w:type="dxa"/>
          </w:tcPr>
          <w:p w:rsidR="0039019E" w:rsidRPr="0039019E" w:rsidRDefault="0039019E" w:rsidP="00D35A9F">
            <w:pPr>
              <w:jc w:val="center"/>
              <w:cnfStyle w:val="000000100000"/>
              <w:rPr>
                <w:rFonts w:asciiTheme="majorBidi" w:hAnsiTheme="majorBidi" w:cstheme="majorBidi"/>
                <w:color w:val="auto"/>
                <w:sz w:val="24"/>
                <w:szCs w:val="24"/>
              </w:rPr>
            </w:pPr>
            <w:r w:rsidRPr="0039019E">
              <w:rPr>
                <w:rFonts w:asciiTheme="majorBidi" w:hAnsiTheme="majorBidi" w:cstheme="majorBidi"/>
                <w:color w:val="auto"/>
                <w:sz w:val="24"/>
                <w:szCs w:val="24"/>
              </w:rPr>
              <w:t>36.4</w:t>
            </w:r>
          </w:p>
        </w:tc>
        <w:tc>
          <w:tcPr>
            <w:tcW w:w="1058" w:type="dxa"/>
          </w:tcPr>
          <w:p w:rsidR="0039019E" w:rsidRPr="0039019E" w:rsidRDefault="0039019E" w:rsidP="00D35A9F">
            <w:pPr>
              <w:jc w:val="center"/>
              <w:cnfStyle w:val="000000100000"/>
              <w:rPr>
                <w:rFonts w:asciiTheme="majorBidi" w:hAnsiTheme="majorBidi" w:cstheme="majorBidi"/>
                <w:color w:val="auto"/>
                <w:sz w:val="24"/>
                <w:szCs w:val="24"/>
              </w:rPr>
            </w:pPr>
            <w:r w:rsidRPr="0039019E">
              <w:rPr>
                <w:rFonts w:asciiTheme="majorBidi" w:hAnsiTheme="majorBidi" w:cstheme="majorBidi"/>
                <w:color w:val="auto"/>
                <w:sz w:val="24"/>
                <w:szCs w:val="24"/>
              </w:rPr>
              <w:t>21.4</w:t>
            </w:r>
          </w:p>
        </w:tc>
        <w:tc>
          <w:tcPr>
            <w:tcW w:w="854" w:type="dxa"/>
          </w:tcPr>
          <w:p w:rsidR="0039019E" w:rsidRPr="0039019E" w:rsidRDefault="0039019E" w:rsidP="00D35A9F">
            <w:pPr>
              <w:jc w:val="center"/>
              <w:cnfStyle w:val="000000100000"/>
              <w:rPr>
                <w:rFonts w:asciiTheme="majorBidi" w:hAnsiTheme="majorBidi" w:cstheme="majorBidi"/>
                <w:color w:val="auto"/>
                <w:sz w:val="24"/>
                <w:szCs w:val="24"/>
              </w:rPr>
            </w:pPr>
            <w:r w:rsidRPr="0039019E">
              <w:rPr>
                <w:rFonts w:asciiTheme="majorBidi" w:hAnsiTheme="majorBidi" w:cstheme="majorBidi"/>
                <w:color w:val="auto"/>
                <w:sz w:val="24"/>
                <w:szCs w:val="24"/>
              </w:rPr>
              <w:t>25.1</w:t>
            </w:r>
          </w:p>
        </w:tc>
      </w:tr>
      <w:tr w:rsidR="0039019E" w:rsidRPr="0039019E" w:rsidTr="0039019E">
        <w:trPr>
          <w:trHeight w:val="335"/>
        </w:trPr>
        <w:tc>
          <w:tcPr>
            <w:cnfStyle w:val="001000000000"/>
            <w:tcW w:w="3670" w:type="dxa"/>
          </w:tcPr>
          <w:p w:rsidR="0039019E" w:rsidRPr="0039019E" w:rsidRDefault="0039019E" w:rsidP="00D35A9F">
            <w:pPr>
              <w:rPr>
                <w:rFonts w:asciiTheme="majorBidi" w:hAnsiTheme="majorBidi" w:cstheme="majorBidi"/>
                <w:bCs w:val="0"/>
                <w:color w:val="auto"/>
                <w:sz w:val="24"/>
                <w:szCs w:val="24"/>
              </w:rPr>
            </w:pPr>
            <w:r w:rsidRPr="0039019E">
              <w:rPr>
                <w:rFonts w:asciiTheme="majorBidi" w:hAnsiTheme="majorBidi" w:cstheme="majorBidi"/>
                <w:bCs w:val="0"/>
                <w:color w:val="auto"/>
                <w:sz w:val="24"/>
                <w:szCs w:val="24"/>
              </w:rPr>
              <w:t>Absence de sentiment de solitude</w:t>
            </w:r>
          </w:p>
        </w:tc>
        <w:tc>
          <w:tcPr>
            <w:tcW w:w="1057"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28.8</w:t>
            </w:r>
          </w:p>
        </w:tc>
        <w:tc>
          <w:tcPr>
            <w:tcW w:w="1058"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44.5</w:t>
            </w:r>
          </w:p>
        </w:tc>
        <w:tc>
          <w:tcPr>
            <w:tcW w:w="1058"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14.7</w:t>
            </w:r>
          </w:p>
        </w:tc>
        <w:tc>
          <w:tcPr>
            <w:tcW w:w="1058"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26.1</w:t>
            </w:r>
          </w:p>
        </w:tc>
        <w:tc>
          <w:tcPr>
            <w:tcW w:w="854" w:type="dxa"/>
          </w:tcPr>
          <w:p w:rsidR="0039019E" w:rsidRPr="0039019E" w:rsidRDefault="0039019E" w:rsidP="00D35A9F">
            <w:pPr>
              <w:jc w:val="center"/>
              <w:cnfStyle w:val="000000000000"/>
              <w:rPr>
                <w:rFonts w:asciiTheme="majorBidi" w:hAnsiTheme="majorBidi" w:cstheme="majorBidi"/>
                <w:color w:val="auto"/>
                <w:sz w:val="24"/>
                <w:szCs w:val="24"/>
              </w:rPr>
            </w:pPr>
            <w:r w:rsidRPr="0039019E">
              <w:rPr>
                <w:rFonts w:asciiTheme="majorBidi" w:hAnsiTheme="majorBidi" w:cstheme="majorBidi"/>
                <w:color w:val="auto"/>
                <w:sz w:val="24"/>
                <w:szCs w:val="24"/>
              </w:rPr>
              <w:t>36.8</w:t>
            </w:r>
          </w:p>
        </w:tc>
      </w:tr>
    </w:tbl>
    <w:p w:rsidR="00D01210" w:rsidRPr="00DC206E" w:rsidRDefault="0039019E" w:rsidP="00DC206E">
      <w:pPr>
        <w:ind w:firstLine="708"/>
        <w:rPr>
          <w:rFonts w:asciiTheme="majorBidi" w:hAnsiTheme="majorBidi" w:cstheme="majorBidi"/>
          <w:sz w:val="24"/>
          <w:szCs w:val="24"/>
        </w:rPr>
      </w:pPr>
      <w:r w:rsidRPr="0039019E">
        <w:rPr>
          <w:rFonts w:asciiTheme="majorBidi" w:hAnsiTheme="majorBidi" w:cstheme="majorBidi"/>
        </w:rPr>
        <w:t>Source : Traitements effectués par les auteurs à partir des données de l’ENPA 2006, HCP.</w:t>
      </w:r>
    </w:p>
    <w:p w:rsidR="00CF1B12" w:rsidRDefault="00CF1B12">
      <w:pPr>
        <w:rPr>
          <w:rFonts w:asciiTheme="majorBidi" w:eastAsiaTheme="majorEastAsia" w:hAnsiTheme="majorBidi" w:cstheme="majorBidi"/>
          <w:b/>
          <w:bCs/>
          <w:sz w:val="28"/>
          <w:szCs w:val="28"/>
        </w:rPr>
      </w:pPr>
      <w:r>
        <w:rPr>
          <w:rFonts w:asciiTheme="majorBidi" w:hAnsiTheme="majorBidi"/>
          <w:b/>
          <w:bCs/>
          <w:sz w:val="28"/>
          <w:szCs w:val="28"/>
        </w:rPr>
        <w:br w:type="page"/>
      </w:r>
    </w:p>
    <w:p w:rsidR="00CF6D0C" w:rsidRPr="00CF6D0C" w:rsidRDefault="00682ADA" w:rsidP="00CF6D0C">
      <w:pPr>
        <w:pStyle w:val="Titre1"/>
        <w:rPr>
          <w:rFonts w:asciiTheme="majorBidi" w:hAnsiTheme="majorBidi"/>
          <w:b/>
          <w:bCs/>
          <w:color w:val="auto"/>
          <w:sz w:val="28"/>
          <w:szCs w:val="28"/>
        </w:rPr>
      </w:pPr>
      <w:r>
        <w:rPr>
          <w:rFonts w:asciiTheme="majorBidi" w:hAnsiTheme="majorBidi"/>
          <w:b/>
          <w:bCs/>
          <w:color w:val="auto"/>
          <w:sz w:val="28"/>
          <w:szCs w:val="28"/>
        </w:rPr>
        <w:lastRenderedPageBreak/>
        <w:t>I</w:t>
      </w:r>
      <w:r w:rsidR="00D06733">
        <w:rPr>
          <w:rFonts w:asciiTheme="majorBidi" w:hAnsiTheme="majorBidi"/>
          <w:b/>
          <w:bCs/>
          <w:color w:val="auto"/>
          <w:sz w:val="28"/>
          <w:szCs w:val="28"/>
        </w:rPr>
        <w:t>V. L</w:t>
      </w:r>
      <w:bookmarkStart w:id="16" w:name="_GoBack"/>
      <w:bookmarkEnd w:id="16"/>
      <w:r w:rsidR="00CF6D0C" w:rsidRPr="00CF6D0C">
        <w:rPr>
          <w:rFonts w:asciiTheme="majorBidi" w:hAnsiTheme="majorBidi"/>
          <w:b/>
          <w:bCs/>
          <w:color w:val="auto"/>
          <w:sz w:val="28"/>
          <w:szCs w:val="28"/>
        </w:rPr>
        <w:t>e rôle de la famille dans la prise en charge des personnes âgées au Maroc</w:t>
      </w:r>
    </w:p>
    <w:p w:rsidR="00A93207" w:rsidRPr="00A93207" w:rsidRDefault="00A93207" w:rsidP="00A93207"/>
    <w:p w:rsidR="00135EDC" w:rsidRDefault="00CF1B12" w:rsidP="00CF1B12">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CF1B12">
        <w:rPr>
          <w:rFonts w:asciiTheme="majorBidi" w:hAnsiTheme="majorBidi" w:cstheme="majorBidi"/>
          <w:sz w:val="24"/>
          <w:szCs w:val="24"/>
        </w:rPr>
        <w:t>Considérée comme une pièce maîtresse de l’ensemble des structures sociales, la famille constitue un cadre de reproduction démographique et d’intégration d’individus dans la vie sociale. Elle est aussi l’institution privilégiée où s’établissent des relations d’affection, de solidarité, comme elle s’y exerce des fonctions diverses allant de la garde et de l’éducation des enfants aux soins apportés aux personnes âgées. De par ces prestations sociales irremplaçables, allant des premières aux dernières phases de la vie, dont les coûts sont inestimables, la famille est un capital humain et un potentiel économique importants pour la société.</w:t>
      </w:r>
    </w:p>
    <w:p w:rsidR="001A350F" w:rsidRDefault="001A350F" w:rsidP="001A350F">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C'est ainsi que la famille jouait et continue toujours à jouer un rôle important dans la prise en charge des personnes âgées. Cette prise en charge se manifeste à travers un soutien économique et financier aux personnes âgées dépourvues de moyens de subsistance et à travers également un soutien moral et affectif.</w:t>
      </w:r>
    </w:p>
    <w:p w:rsidR="007A01A7" w:rsidRDefault="001A350F" w:rsidP="001A700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L'enquête sur les personnes âgées réalisée au</w:t>
      </w:r>
      <w:r w:rsidR="001A7000">
        <w:rPr>
          <w:rFonts w:asciiTheme="majorBidi" w:hAnsiTheme="majorBidi" w:cstheme="majorBidi"/>
          <w:sz w:val="24"/>
          <w:szCs w:val="24"/>
        </w:rPr>
        <w:t xml:space="preserve"> Maroc en 2006 a abordé, entre autres, la protection sociale des personnes âgées. Cette protection sociale a plusieurs formes, institutionnelle (pensions de retraites), ou familiale (aide matérielle ou </w:t>
      </w:r>
      <w:r w:rsidR="007A01A7">
        <w:rPr>
          <w:rFonts w:asciiTheme="majorBidi" w:hAnsiTheme="majorBidi" w:cstheme="majorBidi"/>
          <w:sz w:val="24"/>
          <w:szCs w:val="24"/>
        </w:rPr>
        <w:t xml:space="preserve">aide aux tâches </w:t>
      </w:r>
      <w:r w:rsidR="001A7000">
        <w:rPr>
          <w:rFonts w:asciiTheme="majorBidi" w:hAnsiTheme="majorBidi" w:cstheme="majorBidi"/>
          <w:sz w:val="24"/>
          <w:szCs w:val="24"/>
        </w:rPr>
        <w:t>ménagère</w:t>
      </w:r>
      <w:r w:rsidR="007A01A7">
        <w:rPr>
          <w:rFonts w:asciiTheme="majorBidi" w:hAnsiTheme="majorBidi" w:cstheme="majorBidi"/>
          <w:sz w:val="24"/>
          <w:szCs w:val="24"/>
        </w:rPr>
        <w:t>s</w:t>
      </w:r>
      <w:r w:rsidR="001A7000">
        <w:rPr>
          <w:rFonts w:asciiTheme="majorBidi" w:hAnsiTheme="majorBidi" w:cstheme="majorBidi"/>
          <w:sz w:val="24"/>
          <w:szCs w:val="24"/>
        </w:rPr>
        <w:t>).</w:t>
      </w:r>
    </w:p>
    <w:p w:rsidR="001A350F" w:rsidRDefault="007A01A7" w:rsidP="001A7000">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Selon les résultats de cette enquête, 68,4% des personnes déclarent avoir reçu une aide matérielle de la part de leurs enfants, 25,5% de la part d'un autre membre de ménage</w:t>
      </w:r>
      <w:r w:rsidR="001A7000">
        <w:rPr>
          <w:rFonts w:asciiTheme="majorBidi" w:hAnsiTheme="majorBidi" w:cstheme="majorBidi"/>
          <w:sz w:val="24"/>
          <w:szCs w:val="24"/>
        </w:rPr>
        <w:t xml:space="preserve"> </w:t>
      </w:r>
      <w:r>
        <w:rPr>
          <w:rFonts w:asciiTheme="majorBidi" w:hAnsiTheme="majorBidi" w:cstheme="majorBidi"/>
          <w:sz w:val="24"/>
          <w:szCs w:val="24"/>
        </w:rPr>
        <w:t xml:space="preserve">et 17,9% de la part d'un membre de la famille. </w:t>
      </w:r>
      <w:r w:rsidR="00D35A9F">
        <w:rPr>
          <w:rFonts w:asciiTheme="majorBidi" w:hAnsiTheme="majorBidi" w:cstheme="majorBidi"/>
          <w:sz w:val="24"/>
          <w:szCs w:val="24"/>
        </w:rPr>
        <w:t>Dans l'ensemble, 75,0% des personnes âgées reçoivent des aides matérielles de la part d'une personne proche (enfant, membre du ménage ou membre de la famille).</w:t>
      </w:r>
    </w:p>
    <w:p w:rsidR="00DC6A0B" w:rsidRDefault="00DC6A0B">
      <w:pPr>
        <w:rPr>
          <w:rFonts w:asciiTheme="majorBidi" w:hAnsiTheme="majorBidi" w:cstheme="majorBidi"/>
          <w:sz w:val="24"/>
          <w:szCs w:val="24"/>
        </w:rPr>
      </w:pPr>
      <w:r>
        <w:rPr>
          <w:rFonts w:asciiTheme="majorBidi" w:hAnsiTheme="majorBidi" w:cstheme="majorBidi"/>
          <w:sz w:val="24"/>
          <w:szCs w:val="24"/>
        </w:rPr>
        <w:br w:type="page"/>
      </w:r>
    </w:p>
    <w:p w:rsidR="00D35A9F" w:rsidRDefault="00D35A9F" w:rsidP="00DC6A0B">
      <w:pPr>
        <w:pStyle w:val="Sous-titre"/>
        <w:numPr>
          <w:ilvl w:val="0"/>
          <w:numId w:val="0"/>
        </w:numPr>
        <w:spacing w:before="100" w:beforeAutospacing="1" w:after="0"/>
        <w:jc w:val="center"/>
        <w:rPr>
          <w:rStyle w:val="Emphaseple"/>
          <w:b/>
          <w:bCs/>
          <w:color w:val="auto"/>
        </w:rPr>
      </w:pPr>
      <w:r w:rsidRPr="00DC6A0B">
        <w:rPr>
          <w:rStyle w:val="Emphaseple"/>
          <w:b/>
          <w:bCs/>
          <w:color w:val="auto"/>
        </w:rPr>
        <w:lastRenderedPageBreak/>
        <w:t>Tableau 14 : Répartition (en %) des pers</w:t>
      </w:r>
      <w:r w:rsidR="00936B06" w:rsidRPr="00DC6A0B">
        <w:rPr>
          <w:rStyle w:val="Emphaseple"/>
          <w:b/>
          <w:bCs/>
          <w:color w:val="auto"/>
        </w:rPr>
        <w:t>onnes âgées selon le sexe et l'aide matérielle des proches</w:t>
      </w:r>
    </w:p>
    <w:p w:rsidR="00DC6A0B" w:rsidRDefault="00DC6A0B" w:rsidP="00DC6A0B"/>
    <w:tbl>
      <w:tblPr>
        <w:tblStyle w:val="ListTable6Colorful-Accent31"/>
        <w:tblW w:w="8472" w:type="dxa"/>
        <w:tblLayout w:type="fixed"/>
        <w:tblLook w:val="04A0"/>
      </w:tblPr>
      <w:tblGrid>
        <w:gridCol w:w="3670"/>
        <w:gridCol w:w="1400"/>
        <w:gridCol w:w="1417"/>
        <w:gridCol w:w="1985"/>
      </w:tblGrid>
      <w:tr w:rsidR="00DC6A0B" w:rsidRPr="0039019E" w:rsidTr="002F44E7">
        <w:trPr>
          <w:cnfStyle w:val="100000000000"/>
          <w:trHeight w:val="279"/>
        </w:trPr>
        <w:tc>
          <w:tcPr>
            <w:cnfStyle w:val="001000000000"/>
            <w:tcW w:w="3670" w:type="dxa"/>
            <w:vMerge w:val="restart"/>
          </w:tcPr>
          <w:p w:rsidR="00DC6A0B" w:rsidRPr="0039019E" w:rsidRDefault="00DC6A0B" w:rsidP="002F44E7">
            <w:pPr>
              <w:jc w:val="center"/>
              <w:rPr>
                <w:rFonts w:asciiTheme="majorBidi" w:hAnsiTheme="majorBidi" w:cstheme="majorBidi"/>
                <w:bCs w:val="0"/>
                <w:color w:val="auto"/>
                <w:sz w:val="24"/>
                <w:szCs w:val="24"/>
              </w:rPr>
            </w:pPr>
          </w:p>
          <w:p w:rsidR="00DC6A0B" w:rsidRPr="0039019E" w:rsidRDefault="00DC6A0B" w:rsidP="00DC6A0B">
            <w:pPr>
              <w:jc w:val="center"/>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Personne donnant de l'aide matérielle</w:t>
            </w:r>
            <w:r w:rsidRPr="0039019E">
              <w:rPr>
                <w:rFonts w:asciiTheme="majorBidi" w:hAnsiTheme="majorBidi" w:cstheme="majorBidi"/>
                <w:bCs w:val="0"/>
                <w:color w:val="auto"/>
                <w:sz w:val="24"/>
                <w:szCs w:val="24"/>
              </w:rPr>
              <w:t xml:space="preserve"> </w:t>
            </w:r>
          </w:p>
        </w:tc>
        <w:tc>
          <w:tcPr>
            <w:tcW w:w="4802" w:type="dxa"/>
            <w:gridSpan w:val="3"/>
          </w:tcPr>
          <w:p w:rsidR="00DC6A0B" w:rsidRPr="0039019E" w:rsidRDefault="00FE0ADC" w:rsidP="002F44E7">
            <w:pPr>
              <w:jc w:val="center"/>
              <w:cnfStyle w:val="100000000000"/>
              <w:rPr>
                <w:rFonts w:asciiTheme="majorBidi" w:hAnsiTheme="majorBidi" w:cstheme="majorBidi"/>
                <w:b w:val="0"/>
                <w:bCs w:val="0"/>
                <w:sz w:val="24"/>
                <w:szCs w:val="24"/>
              </w:rPr>
            </w:pPr>
            <w:r>
              <w:rPr>
                <w:rFonts w:asciiTheme="majorBidi" w:hAnsiTheme="majorBidi" w:cstheme="majorBidi"/>
                <w:bCs w:val="0"/>
                <w:color w:val="auto"/>
                <w:sz w:val="24"/>
                <w:szCs w:val="24"/>
              </w:rPr>
              <w:t>Sexe</w:t>
            </w:r>
          </w:p>
        </w:tc>
      </w:tr>
      <w:tr w:rsidR="00DC6A0B" w:rsidRPr="0039019E" w:rsidTr="00DC6A0B">
        <w:trPr>
          <w:cnfStyle w:val="000000100000"/>
          <w:trHeight w:val="561"/>
        </w:trPr>
        <w:tc>
          <w:tcPr>
            <w:cnfStyle w:val="001000000000"/>
            <w:tcW w:w="3670" w:type="dxa"/>
            <w:vMerge/>
          </w:tcPr>
          <w:p w:rsidR="00DC6A0B" w:rsidRPr="0039019E" w:rsidRDefault="00DC6A0B" w:rsidP="002F44E7">
            <w:pPr>
              <w:rPr>
                <w:rFonts w:asciiTheme="majorBidi" w:hAnsiTheme="majorBidi" w:cstheme="majorBidi"/>
                <w:bCs w:val="0"/>
                <w:color w:val="auto"/>
                <w:sz w:val="24"/>
                <w:szCs w:val="24"/>
              </w:rPr>
            </w:pPr>
          </w:p>
        </w:tc>
        <w:tc>
          <w:tcPr>
            <w:tcW w:w="1400" w:type="dxa"/>
          </w:tcPr>
          <w:p w:rsidR="00DC6A0B" w:rsidRPr="00DC6A0B" w:rsidRDefault="00DC6A0B" w:rsidP="00DC6A0B">
            <w:pPr>
              <w:cnfStyle w:val="000000100000"/>
              <w:rPr>
                <w:rFonts w:asciiTheme="majorBidi" w:hAnsiTheme="majorBidi" w:cstheme="majorBidi"/>
                <w:b/>
                <w:color w:val="auto"/>
                <w:sz w:val="24"/>
                <w:szCs w:val="24"/>
              </w:rPr>
            </w:pPr>
            <w:r w:rsidRPr="00DC6A0B">
              <w:rPr>
                <w:rFonts w:asciiTheme="majorBidi" w:hAnsiTheme="majorBidi" w:cstheme="majorBidi"/>
                <w:b/>
                <w:color w:val="auto"/>
                <w:sz w:val="24"/>
                <w:szCs w:val="24"/>
              </w:rPr>
              <w:t>Masculin</w:t>
            </w:r>
          </w:p>
        </w:tc>
        <w:tc>
          <w:tcPr>
            <w:tcW w:w="1417" w:type="dxa"/>
          </w:tcPr>
          <w:p w:rsidR="00DC6A0B" w:rsidRPr="00DC6A0B" w:rsidRDefault="00DC6A0B" w:rsidP="00DC6A0B">
            <w:pPr>
              <w:cnfStyle w:val="000000100000"/>
              <w:rPr>
                <w:rFonts w:asciiTheme="majorBidi" w:hAnsiTheme="majorBidi" w:cstheme="majorBidi"/>
                <w:b/>
                <w:color w:val="auto"/>
                <w:sz w:val="24"/>
                <w:szCs w:val="24"/>
              </w:rPr>
            </w:pPr>
            <w:r w:rsidRPr="00DC6A0B">
              <w:rPr>
                <w:rFonts w:asciiTheme="majorBidi" w:hAnsiTheme="majorBidi" w:cstheme="majorBidi"/>
                <w:b/>
                <w:color w:val="auto"/>
                <w:sz w:val="24"/>
                <w:szCs w:val="24"/>
              </w:rPr>
              <w:t>Féminin</w:t>
            </w:r>
          </w:p>
        </w:tc>
        <w:tc>
          <w:tcPr>
            <w:tcW w:w="1985" w:type="dxa"/>
          </w:tcPr>
          <w:p w:rsidR="00DC6A0B" w:rsidRPr="00DC6A0B" w:rsidRDefault="00DC6A0B" w:rsidP="00DC6A0B">
            <w:pPr>
              <w:cnfStyle w:val="000000100000"/>
              <w:rPr>
                <w:rFonts w:asciiTheme="majorBidi" w:hAnsiTheme="majorBidi" w:cstheme="majorBidi"/>
                <w:b/>
                <w:color w:val="auto"/>
                <w:sz w:val="24"/>
                <w:szCs w:val="24"/>
              </w:rPr>
            </w:pPr>
            <w:r w:rsidRPr="00DC6A0B">
              <w:rPr>
                <w:rFonts w:asciiTheme="majorBidi" w:hAnsiTheme="majorBidi" w:cstheme="majorBidi"/>
                <w:b/>
                <w:color w:val="auto"/>
                <w:sz w:val="24"/>
                <w:szCs w:val="24"/>
              </w:rPr>
              <w:t>Ensemble</w:t>
            </w:r>
          </w:p>
        </w:tc>
      </w:tr>
      <w:tr w:rsidR="00DC6A0B" w:rsidRPr="0039019E" w:rsidTr="00DC6A0B">
        <w:trPr>
          <w:trHeight w:val="267"/>
        </w:trPr>
        <w:tc>
          <w:tcPr>
            <w:cnfStyle w:val="001000000000"/>
            <w:tcW w:w="3670" w:type="dxa"/>
          </w:tcPr>
          <w:p w:rsidR="00DC6A0B" w:rsidRPr="00DC6A0B" w:rsidRDefault="00DC6A0B"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Enfants</w:t>
            </w:r>
          </w:p>
        </w:tc>
        <w:tc>
          <w:tcPr>
            <w:tcW w:w="1400" w:type="dxa"/>
          </w:tcPr>
          <w:p w:rsidR="00DC6A0B" w:rsidRPr="0039019E" w:rsidRDefault="00DC6A0B" w:rsidP="002F44E7">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59.0</w:t>
            </w:r>
          </w:p>
        </w:tc>
        <w:tc>
          <w:tcPr>
            <w:tcW w:w="1417" w:type="dxa"/>
          </w:tcPr>
          <w:p w:rsidR="00DC6A0B" w:rsidRPr="0039019E" w:rsidRDefault="00DC6A0B" w:rsidP="002F44E7">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77.0</w:t>
            </w:r>
          </w:p>
        </w:tc>
        <w:tc>
          <w:tcPr>
            <w:tcW w:w="1985" w:type="dxa"/>
          </w:tcPr>
          <w:p w:rsidR="00DC6A0B" w:rsidRPr="0039019E" w:rsidRDefault="00DC6A0B" w:rsidP="002F44E7">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68.4</w:t>
            </w:r>
          </w:p>
        </w:tc>
      </w:tr>
      <w:tr w:rsidR="00DC6A0B" w:rsidRPr="0039019E" w:rsidTr="00DC6A0B">
        <w:trPr>
          <w:cnfStyle w:val="000000100000"/>
          <w:trHeight w:val="279"/>
        </w:trPr>
        <w:tc>
          <w:tcPr>
            <w:cnfStyle w:val="001000000000"/>
            <w:tcW w:w="3670" w:type="dxa"/>
          </w:tcPr>
          <w:p w:rsidR="00DC6A0B" w:rsidRPr="00DC6A0B" w:rsidRDefault="00DC6A0B"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Membre du ménage</w:t>
            </w:r>
          </w:p>
        </w:tc>
        <w:tc>
          <w:tcPr>
            <w:tcW w:w="1400" w:type="dxa"/>
          </w:tcPr>
          <w:p w:rsidR="00DC6A0B" w:rsidRPr="0039019E" w:rsidRDefault="00DC6A0B" w:rsidP="002F44E7">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20.0</w:t>
            </w:r>
          </w:p>
        </w:tc>
        <w:tc>
          <w:tcPr>
            <w:tcW w:w="1417" w:type="dxa"/>
          </w:tcPr>
          <w:p w:rsidR="00DC6A0B" w:rsidRPr="0039019E" w:rsidRDefault="00DC6A0B" w:rsidP="002F44E7">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30.6</w:t>
            </w:r>
          </w:p>
        </w:tc>
        <w:tc>
          <w:tcPr>
            <w:tcW w:w="1985" w:type="dxa"/>
          </w:tcPr>
          <w:p w:rsidR="00DC6A0B" w:rsidRPr="0039019E" w:rsidRDefault="00DC6A0B" w:rsidP="002F44E7">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25.5</w:t>
            </w:r>
          </w:p>
        </w:tc>
      </w:tr>
      <w:tr w:rsidR="00DC6A0B" w:rsidRPr="0039019E" w:rsidTr="00DC6A0B">
        <w:trPr>
          <w:trHeight w:val="335"/>
        </w:trPr>
        <w:tc>
          <w:tcPr>
            <w:cnfStyle w:val="001000000000"/>
            <w:tcW w:w="3670" w:type="dxa"/>
          </w:tcPr>
          <w:p w:rsidR="00DC6A0B" w:rsidRPr="00DC6A0B" w:rsidRDefault="00DC6A0B"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Membre de la famille</w:t>
            </w:r>
          </w:p>
        </w:tc>
        <w:tc>
          <w:tcPr>
            <w:tcW w:w="1400" w:type="dxa"/>
          </w:tcPr>
          <w:p w:rsidR="00DC6A0B" w:rsidRPr="0039019E" w:rsidRDefault="00DC6A0B" w:rsidP="002F44E7">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14.0</w:t>
            </w:r>
          </w:p>
        </w:tc>
        <w:tc>
          <w:tcPr>
            <w:tcW w:w="1417" w:type="dxa"/>
          </w:tcPr>
          <w:p w:rsidR="00DC6A0B" w:rsidRPr="0039019E" w:rsidRDefault="00DC6A0B" w:rsidP="002F44E7">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21.4</w:t>
            </w:r>
          </w:p>
        </w:tc>
        <w:tc>
          <w:tcPr>
            <w:tcW w:w="1985" w:type="dxa"/>
          </w:tcPr>
          <w:p w:rsidR="00DC6A0B" w:rsidRPr="0039019E" w:rsidRDefault="00DC6A0B" w:rsidP="002F44E7">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17.9</w:t>
            </w:r>
          </w:p>
        </w:tc>
      </w:tr>
      <w:tr w:rsidR="00DC6A0B" w:rsidRPr="0039019E" w:rsidTr="00DC6A0B">
        <w:trPr>
          <w:cnfStyle w:val="000000100000"/>
          <w:trHeight w:val="335"/>
        </w:trPr>
        <w:tc>
          <w:tcPr>
            <w:cnfStyle w:val="001000000000"/>
            <w:tcW w:w="3670" w:type="dxa"/>
          </w:tcPr>
          <w:p w:rsidR="00DC6A0B" w:rsidRPr="00DC6A0B" w:rsidRDefault="00DC6A0B"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Ensemble</w:t>
            </w:r>
          </w:p>
        </w:tc>
        <w:tc>
          <w:tcPr>
            <w:tcW w:w="1400" w:type="dxa"/>
          </w:tcPr>
          <w:p w:rsidR="00DC6A0B" w:rsidRPr="00DC6A0B" w:rsidRDefault="00DC6A0B" w:rsidP="002F44E7">
            <w:pPr>
              <w:jc w:val="center"/>
              <w:cnfStyle w:val="000000100000"/>
              <w:rPr>
                <w:rFonts w:asciiTheme="majorBidi" w:hAnsiTheme="majorBidi" w:cstheme="majorBidi"/>
                <w:b/>
                <w:color w:val="auto"/>
                <w:sz w:val="24"/>
                <w:szCs w:val="24"/>
              </w:rPr>
            </w:pPr>
            <w:r w:rsidRPr="00DC6A0B">
              <w:rPr>
                <w:rFonts w:asciiTheme="majorBidi" w:hAnsiTheme="majorBidi" w:cstheme="majorBidi"/>
                <w:b/>
                <w:color w:val="auto"/>
                <w:sz w:val="24"/>
                <w:szCs w:val="24"/>
              </w:rPr>
              <w:t>65.8</w:t>
            </w:r>
          </w:p>
        </w:tc>
        <w:tc>
          <w:tcPr>
            <w:tcW w:w="1417" w:type="dxa"/>
          </w:tcPr>
          <w:p w:rsidR="00DC6A0B" w:rsidRPr="00DC6A0B" w:rsidRDefault="00DC6A0B" w:rsidP="002F44E7">
            <w:pPr>
              <w:jc w:val="center"/>
              <w:cnfStyle w:val="000000100000"/>
              <w:rPr>
                <w:rFonts w:asciiTheme="majorBidi" w:hAnsiTheme="majorBidi" w:cstheme="majorBidi"/>
                <w:b/>
                <w:color w:val="auto"/>
                <w:sz w:val="24"/>
                <w:szCs w:val="24"/>
              </w:rPr>
            </w:pPr>
            <w:r w:rsidRPr="00DC6A0B">
              <w:rPr>
                <w:rFonts w:asciiTheme="majorBidi" w:hAnsiTheme="majorBidi" w:cstheme="majorBidi"/>
                <w:b/>
                <w:color w:val="auto"/>
                <w:sz w:val="24"/>
                <w:szCs w:val="24"/>
              </w:rPr>
              <w:t>83.3</w:t>
            </w:r>
          </w:p>
        </w:tc>
        <w:tc>
          <w:tcPr>
            <w:tcW w:w="1985" w:type="dxa"/>
          </w:tcPr>
          <w:p w:rsidR="00DC6A0B" w:rsidRPr="00DC6A0B" w:rsidRDefault="00DC6A0B" w:rsidP="002F44E7">
            <w:pPr>
              <w:jc w:val="center"/>
              <w:cnfStyle w:val="000000100000"/>
              <w:rPr>
                <w:rFonts w:asciiTheme="majorBidi" w:hAnsiTheme="majorBidi" w:cstheme="majorBidi"/>
                <w:b/>
                <w:color w:val="auto"/>
                <w:sz w:val="24"/>
                <w:szCs w:val="24"/>
              </w:rPr>
            </w:pPr>
            <w:r w:rsidRPr="00DC6A0B">
              <w:rPr>
                <w:rFonts w:asciiTheme="majorBidi" w:hAnsiTheme="majorBidi" w:cstheme="majorBidi"/>
                <w:b/>
                <w:color w:val="auto"/>
                <w:sz w:val="24"/>
                <w:szCs w:val="24"/>
              </w:rPr>
              <w:t>75.0</w:t>
            </w:r>
          </w:p>
        </w:tc>
      </w:tr>
    </w:tbl>
    <w:p w:rsidR="00DC6A0B" w:rsidRDefault="00DC6A0B" w:rsidP="00DC6A0B"/>
    <w:p w:rsidR="00DC6A0B" w:rsidRPr="006A7D97" w:rsidRDefault="006A7D97" w:rsidP="006A7D97">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6A7D97">
        <w:rPr>
          <w:rFonts w:asciiTheme="majorBidi" w:hAnsiTheme="majorBidi" w:cstheme="majorBidi"/>
          <w:sz w:val="24"/>
          <w:szCs w:val="24"/>
        </w:rPr>
        <w:t xml:space="preserve">Selon le sexe de la personne âgée, les femmes âgées sont les </w:t>
      </w:r>
      <w:r>
        <w:rPr>
          <w:rFonts w:asciiTheme="majorBidi" w:hAnsiTheme="majorBidi" w:cstheme="majorBidi"/>
          <w:sz w:val="24"/>
          <w:szCs w:val="24"/>
        </w:rPr>
        <w:t>plus nombreuses à recevoir de l'aide matérielle de la part de leurs enfants ou des membres de leurs ménages et de leurs familles que les hommes âgés, soit respectivement 83.3% et 65.8%. Ce résultat pourrait être expliqué par le fait que les femmes âgées sont généralement des veuves sans activité et sans pension de retraite. Elles comptent davantage sur l'aide matérielle provenant de leurs progénitures et des membres de leurs familles pour subvenir à leurs besoins.</w:t>
      </w:r>
    </w:p>
    <w:p w:rsidR="009C6D1B" w:rsidRDefault="00695D01" w:rsidP="00DD1581">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L'aide matérielle aux personnes âgées est fonction croissante de l'âge et peu sensible au milieu de résidence. En effet, plus la personne âgée avance dans l'âge, plus ses enfants et les membres de son ménage et de sa famille la prennent en charge </w:t>
      </w:r>
      <w:r w:rsidR="00DD1581">
        <w:rPr>
          <w:rFonts w:asciiTheme="majorBidi" w:hAnsiTheme="majorBidi" w:cstheme="majorBidi"/>
          <w:sz w:val="24"/>
          <w:szCs w:val="24"/>
        </w:rPr>
        <w:t>matériellement. L'aide des enfants varie de 61.3% pour les personnes âgées de 60-64 ans à 75.8% pour les personnes ayant un âge de 75 ans et plus. Ces pourcentages varient respectivement de 68.9% à 82.6% pour l'aide matérielle provenant des enfants, des membres du ménage ou des membres de la famille.</w:t>
      </w:r>
    </w:p>
    <w:p w:rsidR="00DD1581" w:rsidRDefault="00DD1581" w:rsidP="00FE0ADC">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S'agissant du milieu de résidence, il est à signaler qu'</w:t>
      </w:r>
      <w:r w:rsidR="00FE0ADC">
        <w:rPr>
          <w:rFonts w:asciiTheme="majorBidi" w:hAnsiTheme="majorBidi" w:cstheme="majorBidi"/>
          <w:sz w:val="24"/>
          <w:szCs w:val="24"/>
        </w:rPr>
        <w:t>il y</w:t>
      </w:r>
      <w:r>
        <w:rPr>
          <w:rFonts w:asciiTheme="majorBidi" w:hAnsiTheme="majorBidi" w:cstheme="majorBidi"/>
          <w:sz w:val="24"/>
          <w:szCs w:val="24"/>
        </w:rPr>
        <w:t xml:space="preserve"> </w:t>
      </w:r>
      <w:r w:rsidR="00FE0ADC">
        <w:rPr>
          <w:rFonts w:asciiTheme="majorBidi" w:hAnsiTheme="majorBidi" w:cstheme="majorBidi"/>
          <w:sz w:val="24"/>
          <w:szCs w:val="24"/>
        </w:rPr>
        <w:t xml:space="preserve">a </w:t>
      </w:r>
      <w:r>
        <w:rPr>
          <w:rFonts w:asciiTheme="majorBidi" w:hAnsiTheme="majorBidi" w:cstheme="majorBidi"/>
          <w:sz w:val="24"/>
          <w:szCs w:val="24"/>
        </w:rPr>
        <w:t xml:space="preserve">un léger avantage au profit des ruraux âgés </w:t>
      </w:r>
      <w:r w:rsidR="00FE0ADC">
        <w:rPr>
          <w:rFonts w:asciiTheme="majorBidi" w:hAnsiTheme="majorBidi" w:cstheme="majorBidi"/>
          <w:sz w:val="24"/>
          <w:szCs w:val="24"/>
        </w:rPr>
        <w:t>dans la mesure où 70.8% parmi eux ont reçu une aide matérielle de la part de leurs enfants contre 66.2% pour leurs homologues citadins.</w:t>
      </w:r>
    </w:p>
    <w:p w:rsidR="00FE0ADC" w:rsidRDefault="00FE0ADC">
      <w:pPr>
        <w:rPr>
          <w:rFonts w:asciiTheme="majorBidi" w:hAnsiTheme="majorBidi" w:cstheme="majorBidi"/>
          <w:sz w:val="24"/>
          <w:szCs w:val="24"/>
        </w:rPr>
      </w:pPr>
      <w:r>
        <w:rPr>
          <w:rFonts w:asciiTheme="majorBidi" w:hAnsiTheme="majorBidi" w:cstheme="majorBidi"/>
          <w:sz w:val="24"/>
          <w:szCs w:val="24"/>
        </w:rPr>
        <w:br w:type="page"/>
      </w:r>
    </w:p>
    <w:p w:rsidR="00FE0ADC" w:rsidRPr="0014706B" w:rsidRDefault="0014706B" w:rsidP="0014706B">
      <w:pPr>
        <w:pStyle w:val="Sous-titre"/>
        <w:numPr>
          <w:ilvl w:val="0"/>
          <w:numId w:val="0"/>
        </w:numPr>
        <w:spacing w:before="100" w:beforeAutospacing="1" w:after="0"/>
        <w:jc w:val="center"/>
        <w:rPr>
          <w:rStyle w:val="Emphaseple"/>
          <w:b/>
          <w:bCs/>
          <w:color w:val="auto"/>
        </w:rPr>
      </w:pPr>
      <w:r w:rsidRPr="00DC6A0B">
        <w:rPr>
          <w:rStyle w:val="Emphaseple"/>
          <w:b/>
          <w:bCs/>
          <w:color w:val="auto"/>
        </w:rPr>
        <w:lastRenderedPageBreak/>
        <w:t>Tableau 1</w:t>
      </w:r>
      <w:r>
        <w:rPr>
          <w:rStyle w:val="Emphaseple"/>
          <w:b/>
          <w:bCs/>
          <w:color w:val="auto"/>
        </w:rPr>
        <w:t>5</w:t>
      </w:r>
      <w:r w:rsidRPr="00DC6A0B">
        <w:rPr>
          <w:rStyle w:val="Emphaseple"/>
          <w:b/>
          <w:bCs/>
          <w:color w:val="auto"/>
        </w:rPr>
        <w:t xml:space="preserve"> : Répartition (en %) des personnes âgées selon le </w:t>
      </w:r>
      <w:r>
        <w:rPr>
          <w:rStyle w:val="Emphaseple"/>
          <w:b/>
          <w:bCs/>
          <w:color w:val="auto"/>
        </w:rPr>
        <w:t>groupe d'âge</w:t>
      </w:r>
      <w:r w:rsidRPr="00DC6A0B">
        <w:rPr>
          <w:rStyle w:val="Emphaseple"/>
          <w:b/>
          <w:bCs/>
          <w:color w:val="auto"/>
        </w:rPr>
        <w:t xml:space="preserve"> et l'aide matérielle des proches</w:t>
      </w:r>
    </w:p>
    <w:tbl>
      <w:tblPr>
        <w:tblStyle w:val="ListTable6Colorful-Accent31"/>
        <w:tblW w:w="8755" w:type="dxa"/>
        <w:tblLayout w:type="fixed"/>
        <w:tblLook w:val="04A0"/>
      </w:tblPr>
      <w:tblGrid>
        <w:gridCol w:w="3670"/>
        <w:gridCol w:w="1057"/>
        <w:gridCol w:w="1058"/>
        <w:gridCol w:w="1058"/>
        <w:gridCol w:w="1058"/>
        <w:gridCol w:w="854"/>
      </w:tblGrid>
      <w:tr w:rsidR="00FE0ADC" w:rsidRPr="0039019E" w:rsidTr="002F44E7">
        <w:trPr>
          <w:cnfStyle w:val="100000000000"/>
          <w:trHeight w:val="279"/>
        </w:trPr>
        <w:tc>
          <w:tcPr>
            <w:cnfStyle w:val="001000000000"/>
            <w:tcW w:w="3670" w:type="dxa"/>
            <w:vMerge w:val="restart"/>
          </w:tcPr>
          <w:p w:rsidR="00FE0ADC" w:rsidRPr="0039019E" w:rsidRDefault="00FE0ADC" w:rsidP="002F44E7">
            <w:pPr>
              <w:jc w:val="center"/>
              <w:rPr>
                <w:rFonts w:asciiTheme="majorBidi" w:hAnsiTheme="majorBidi" w:cstheme="majorBidi"/>
                <w:bCs w:val="0"/>
                <w:color w:val="auto"/>
                <w:sz w:val="24"/>
                <w:szCs w:val="24"/>
              </w:rPr>
            </w:pPr>
          </w:p>
          <w:p w:rsidR="00FE0ADC" w:rsidRPr="0039019E" w:rsidRDefault="00FE0ADC" w:rsidP="002F44E7">
            <w:pPr>
              <w:jc w:val="center"/>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Personne donnant de l'aide matérielle</w:t>
            </w:r>
          </w:p>
        </w:tc>
        <w:tc>
          <w:tcPr>
            <w:tcW w:w="4231" w:type="dxa"/>
            <w:gridSpan w:val="4"/>
          </w:tcPr>
          <w:p w:rsidR="00FE0ADC" w:rsidRPr="0039019E" w:rsidRDefault="00FE0ADC" w:rsidP="002F44E7">
            <w:pPr>
              <w:jc w:val="center"/>
              <w:cnfStyle w:val="100000000000"/>
              <w:rPr>
                <w:rFonts w:asciiTheme="majorBidi" w:hAnsiTheme="majorBidi" w:cstheme="majorBidi"/>
                <w:color w:val="auto"/>
                <w:sz w:val="24"/>
                <w:szCs w:val="24"/>
              </w:rPr>
            </w:pPr>
            <w:r>
              <w:rPr>
                <w:rFonts w:asciiTheme="majorBidi" w:hAnsiTheme="majorBidi" w:cstheme="majorBidi"/>
                <w:bCs w:val="0"/>
                <w:color w:val="auto"/>
                <w:sz w:val="24"/>
                <w:szCs w:val="24"/>
              </w:rPr>
              <w:t>Groupe d'âge</w:t>
            </w:r>
          </w:p>
        </w:tc>
        <w:tc>
          <w:tcPr>
            <w:tcW w:w="854" w:type="dxa"/>
            <w:vMerge w:val="restart"/>
          </w:tcPr>
          <w:p w:rsidR="00FE0ADC" w:rsidRPr="0039019E" w:rsidRDefault="00FE0ADC" w:rsidP="002F44E7">
            <w:pPr>
              <w:jc w:val="center"/>
              <w:cnfStyle w:val="100000000000"/>
              <w:rPr>
                <w:rFonts w:asciiTheme="majorBidi" w:hAnsiTheme="majorBidi" w:cstheme="majorBidi"/>
                <w:color w:val="auto"/>
                <w:sz w:val="24"/>
                <w:szCs w:val="24"/>
              </w:rPr>
            </w:pPr>
          </w:p>
          <w:p w:rsidR="00FE0ADC" w:rsidRPr="0039019E" w:rsidRDefault="00FE0ADC" w:rsidP="002F44E7">
            <w:pPr>
              <w:jc w:val="center"/>
              <w:cnfStyle w:val="100000000000"/>
              <w:rPr>
                <w:rFonts w:asciiTheme="majorBidi" w:hAnsiTheme="majorBidi" w:cstheme="majorBidi"/>
                <w:color w:val="auto"/>
                <w:sz w:val="24"/>
                <w:szCs w:val="24"/>
              </w:rPr>
            </w:pPr>
            <w:r w:rsidRPr="0039019E">
              <w:rPr>
                <w:rFonts w:asciiTheme="majorBidi" w:hAnsiTheme="majorBidi" w:cstheme="majorBidi"/>
                <w:bCs w:val="0"/>
                <w:color w:val="auto"/>
                <w:sz w:val="24"/>
                <w:szCs w:val="24"/>
              </w:rPr>
              <w:t>Total</w:t>
            </w:r>
          </w:p>
        </w:tc>
      </w:tr>
      <w:tr w:rsidR="00FE0ADC" w:rsidRPr="0039019E" w:rsidTr="002F44E7">
        <w:trPr>
          <w:cnfStyle w:val="000000100000"/>
          <w:trHeight w:val="561"/>
        </w:trPr>
        <w:tc>
          <w:tcPr>
            <w:cnfStyle w:val="001000000000"/>
            <w:tcW w:w="3670" w:type="dxa"/>
            <w:vMerge/>
          </w:tcPr>
          <w:p w:rsidR="00FE0ADC" w:rsidRPr="0039019E" w:rsidRDefault="00FE0ADC" w:rsidP="002F44E7">
            <w:pPr>
              <w:rPr>
                <w:rFonts w:asciiTheme="majorBidi" w:hAnsiTheme="majorBidi" w:cstheme="majorBidi"/>
                <w:bCs w:val="0"/>
                <w:color w:val="auto"/>
                <w:sz w:val="24"/>
                <w:szCs w:val="24"/>
              </w:rPr>
            </w:pPr>
          </w:p>
        </w:tc>
        <w:tc>
          <w:tcPr>
            <w:tcW w:w="1057" w:type="dxa"/>
          </w:tcPr>
          <w:p w:rsidR="00FE0ADC" w:rsidRPr="0039019E" w:rsidRDefault="00FE0ADC" w:rsidP="002F44E7">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60-64 ans</w:t>
            </w:r>
          </w:p>
        </w:tc>
        <w:tc>
          <w:tcPr>
            <w:tcW w:w="1058" w:type="dxa"/>
          </w:tcPr>
          <w:p w:rsidR="00FE0ADC" w:rsidRPr="0039019E" w:rsidRDefault="00FE0ADC" w:rsidP="002F44E7">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65-69 ans</w:t>
            </w:r>
          </w:p>
        </w:tc>
        <w:tc>
          <w:tcPr>
            <w:tcW w:w="1058" w:type="dxa"/>
          </w:tcPr>
          <w:p w:rsidR="00FE0ADC" w:rsidRPr="0039019E" w:rsidRDefault="00FE0ADC" w:rsidP="002F44E7">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70-74 ans</w:t>
            </w:r>
          </w:p>
        </w:tc>
        <w:tc>
          <w:tcPr>
            <w:tcW w:w="1058" w:type="dxa"/>
          </w:tcPr>
          <w:p w:rsidR="00FE0ADC" w:rsidRPr="0039019E" w:rsidRDefault="00FE0ADC" w:rsidP="002F44E7">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75 ans et +</w:t>
            </w:r>
          </w:p>
        </w:tc>
        <w:tc>
          <w:tcPr>
            <w:tcW w:w="854" w:type="dxa"/>
            <w:vMerge/>
          </w:tcPr>
          <w:p w:rsidR="00FE0ADC" w:rsidRPr="0039019E" w:rsidRDefault="00FE0ADC" w:rsidP="002F44E7">
            <w:pPr>
              <w:jc w:val="center"/>
              <w:cnfStyle w:val="000000100000"/>
              <w:rPr>
                <w:rFonts w:asciiTheme="majorBidi" w:hAnsiTheme="majorBidi" w:cstheme="majorBidi"/>
                <w:color w:val="auto"/>
                <w:sz w:val="24"/>
                <w:szCs w:val="24"/>
              </w:rPr>
            </w:pPr>
          </w:p>
        </w:tc>
      </w:tr>
      <w:tr w:rsidR="00FE0ADC" w:rsidRPr="0039019E" w:rsidTr="002F44E7">
        <w:trPr>
          <w:trHeight w:val="267"/>
        </w:trPr>
        <w:tc>
          <w:tcPr>
            <w:cnfStyle w:val="001000000000"/>
            <w:tcW w:w="3670" w:type="dxa"/>
          </w:tcPr>
          <w:p w:rsidR="00FE0ADC" w:rsidRPr="00DC6A0B" w:rsidRDefault="00FE0ADC"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Enfants</w:t>
            </w:r>
          </w:p>
        </w:tc>
        <w:tc>
          <w:tcPr>
            <w:tcW w:w="1057" w:type="dxa"/>
            <w:vAlign w:val="bottom"/>
          </w:tcPr>
          <w:p w:rsidR="00FE0ADC" w:rsidRPr="0014706B" w:rsidRDefault="0014706B" w:rsidP="0014706B">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61.</w:t>
            </w:r>
            <w:r w:rsidR="00FE0ADC" w:rsidRPr="0014706B">
              <w:rPr>
                <w:rFonts w:asciiTheme="majorBidi" w:hAnsiTheme="majorBidi" w:cstheme="majorBidi"/>
                <w:color w:val="auto"/>
                <w:sz w:val="24"/>
                <w:szCs w:val="24"/>
              </w:rPr>
              <w:t>3</w:t>
            </w:r>
          </w:p>
        </w:tc>
        <w:tc>
          <w:tcPr>
            <w:tcW w:w="1058"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65</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2</w:t>
            </w:r>
          </w:p>
        </w:tc>
        <w:tc>
          <w:tcPr>
            <w:tcW w:w="1058"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71</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0</w:t>
            </w:r>
          </w:p>
        </w:tc>
        <w:tc>
          <w:tcPr>
            <w:tcW w:w="1058"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75</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8</w:t>
            </w:r>
          </w:p>
        </w:tc>
        <w:tc>
          <w:tcPr>
            <w:tcW w:w="854"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68</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4</w:t>
            </w:r>
          </w:p>
        </w:tc>
      </w:tr>
      <w:tr w:rsidR="00FE0ADC" w:rsidRPr="0039019E" w:rsidTr="002F44E7">
        <w:trPr>
          <w:cnfStyle w:val="000000100000"/>
          <w:trHeight w:val="279"/>
        </w:trPr>
        <w:tc>
          <w:tcPr>
            <w:cnfStyle w:val="001000000000"/>
            <w:tcW w:w="3670" w:type="dxa"/>
          </w:tcPr>
          <w:p w:rsidR="00FE0ADC" w:rsidRPr="00DC6A0B" w:rsidRDefault="00FE0ADC"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Membre du ménage</w:t>
            </w:r>
          </w:p>
        </w:tc>
        <w:tc>
          <w:tcPr>
            <w:tcW w:w="1057" w:type="dxa"/>
            <w:vAlign w:val="bottom"/>
          </w:tcPr>
          <w:p w:rsidR="00FE0ADC" w:rsidRPr="0014706B" w:rsidRDefault="0014706B" w:rsidP="0014706B">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23.</w:t>
            </w:r>
            <w:r w:rsidR="00FE0ADC" w:rsidRPr="0014706B">
              <w:rPr>
                <w:rFonts w:asciiTheme="majorBidi" w:hAnsiTheme="majorBidi" w:cstheme="majorBidi"/>
                <w:color w:val="auto"/>
                <w:sz w:val="24"/>
                <w:szCs w:val="24"/>
              </w:rPr>
              <w:t>6</w:t>
            </w:r>
          </w:p>
        </w:tc>
        <w:tc>
          <w:tcPr>
            <w:tcW w:w="1058" w:type="dxa"/>
            <w:vAlign w:val="bottom"/>
          </w:tcPr>
          <w:p w:rsidR="00FE0ADC" w:rsidRPr="0014706B" w:rsidRDefault="00FE0ADC" w:rsidP="0014706B">
            <w:pPr>
              <w:jc w:val="center"/>
              <w:cnfStyle w:val="000000100000"/>
              <w:rPr>
                <w:rFonts w:asciiTheme="majorBidi" w:hAnsiTheme="majorBidi" w:cstheme="majorBidi"/>
                <w:color w:val="auto"/>
                <w:sz w:val="24"/>
                <w:szCs w:val="24"/>
              </w:rPr>
            </w:pPr>
            <w:r w:rsidRPr="0014706B">
              <w:rPr>
                <w:rFonts w:asciiTheme="majorBidi" w:hAnsiTheme="majorBidi" w:cstheme="majorBidi"/>
                <w:color w:val="auto"/>
                <w:sz w:val="24"/>
                <w:szCs w:val="24"/>
              </w:rPr>
              <w:t>23</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8</w:t>
            </w:r>
          </w:p>
        </w:tc>
        <w:tc>
          <w:tcPr>
            <w:tcW w:w="1058" w:type="dxa"/>
            <w:vAlign w:val="bottom"/>
          </w:tcPr>
          <w:p w:rsidR="00FE0ADC" w:rsidRPr="0014706B" w:rsidRDefault="00FE0ADC" w:rsidP="0014706B">
            <w:pPr>
              <w:jc w:val="center"/>
              <w:cnfStyle w:val="000000100000"/>
              <w:rPr>
                <w:rFonts w:asciiTheme="majorBidi" w:hAnsiTheme="majorBidi" w:cstheme="majorBidi"/>
                <w:color w:val="auto"/>
                <w:sz w:val="24"/>
                <w:szCs w:val="24"/>
              </w:rPr>
            </w:pPr>
            <w:r w:rsidRPr="0014706B">
              <w:rPr>
                <w:rFonts w:asciiTheme="majorBidi" w:hAnsiTheme="majorBidi" w:cstheme="majorBidi"/>
                <w:color w:val="auto"/>
                <w:sz w:val="24"/>
                <w:szCs w:val="24"/>
              </w:rPr>
              <w:t>25</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2</w:t>
            </w:r>
          </w:p>
        </w:tc>
        <w:tc>
          <w:tcPr>
            <w:tcW w:w="1058" w:type="dxa"/>
            <w:vAlign w:val="bottom"/>
          </w:tcPr>
          <w:p w:rsidR="00FE0ADC" w:rsidRPr="0014706B" w:rsidRDefault="00FE0ADC" w:rsidP="0014706B">
            <w:pPr>
              <w:jc w:val="center"/>
              <w:cnfStyle w:val="000000100000"/>
              <w:rPr>
                <w:rFonts w:asciiTheme="majorBidi" w:hAnsiTheme="majorBidi" w:cstheme="majorBidi"/>
                <w:color w:val="auto"/>
                <w:sz w:val="24"/>
                <w:szCs w:val="24"/>
              </w:rPr>
            </w:pPr>
            <w:r w:rsidRPr="0014706B">
              <w:rPr>
                <w:rFonts w:asciiTheme="majorBidi" w:hAnsiTheme="majorBidi" w:cstheme="majorBidi"/>
                <w:color w:val="auto"/>
                <w:sz w:val="24"/>
                <w:szCs w:val="24"/>
              </w:rPr>
              <w:t>29</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0</w:t>
            </w:r>
          </w:p>
        </w:tc>
        <w:tc>
          <w:tcPr>
            <w:tcW w:w="854" w:type="dxa"/>
            <w:vAlign w:val="bottom"/>
          </w:tcPr>
          <w:p w:rsidR="00FE0ADC" w:rsidRPr="0014706B" w:rsidRDefault="00FE0ADC" w:rsidP="0014706B">
            <w:pPr>
              <w:jc w:val="center"/>
              <w:cnfStyle w:val="000000100000"/>
              <w:rPr>
                <w:rFonts w:asciiTheme="majorBidi" w:hAnsiTheme="majorBidi" w:cstheme="majorBidi"/>
                <w:color w:val="auto"/>
                <w:sz w:val="24"/>
                <w:szCs w:val="24"/>
              </w:rPr>
            </w:pPr>
            <w:r w:rsidRPr="0014706B">
              <w:rPr>
                <w:rFonts w:asciiTheme="majorBidi" w:hAnsiTheme="majorBidi" w:cstheme="majorBidi"/>
                <w:color w:val="auto"/>
                <w:sz w:val="24"/>
                <w:szCs w:val="24"/>
              </w:rPr>
              <w:t>25</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5</w:t>
            </w:r>
          </w:p>
        </w:tc>
      </w:tr>
      <w:tr w:rsidR="00FE0ADC" w:rsidRPr="0039019E" w:rsidTr="002F44E7">
        <w:trPr>
          <w:trHeight w:val="335"/>
        </w:trPr>
        <w:tc>
          <w:tcPr>
            <w:cnfStyle w:val="001000000000"/>
            <w:tcW w:w="3670" w:type="dxa"/>
          </w:tcPr>
          <w:p w:rsidR="00FE0ADC" w:rsidRPr="00DC6A0B" w:rsidRDefault="00FE0ADC"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Membre de la famille</w:t>
            </w:r>
          </w:p>
        </w:tc>
        <w:tc>
          <w:tcPr>
            <w:tcW w:w="1057" w:type="dxa"/>
            <w:vAlign w:val="bottom"/>
          </w:tcPr>
          <w:p w:rsidR="00FE0ADC" w:rsidRPr="0014706B" w:rsidRDefault="0014706B" w:rsidP="0014706B">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16.</w:t>
            </w:r>
            <w:r w:rsidR="00FE0ADC" w:rsidRPr="0014706B">
              <w:rPr>
                <w:rFonts w:asciiTheme="majorBidi" w:hAnsiTheme="majorBidi" w:cstheme="majorBidi"/>
                <w:color w:val="auto"/>
                <w:sz w:val="24"/>
                <w:szCs w:val="24"/>
              </w:rPr>
              <w:t>9</w:t>
            </w:r>
          </w:p>
        </w:tc>
        <w:tc>
          <w:tcPr>
            <w:tcW w:w="1058"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16</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9</w:t>
            </w:r>
          </w:p>
        </w:tc>
        <w:tc>
          <w:tcPr>
            <w:tcW w:w="1058"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16</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7</w:t>
            </w:r>
          </w:p>
        </w:tc>
        <w:tc>
          <w:tcPr>
            <w:tcW w:w="1058"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20</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5</w:t>
            </w:r>
          </w:p>
        </w:tc>
        <w:tc>
          <w:tcPr>
            <w:tcW w:w="854" w:type="dxa"/>
            <w:vAlign w:val="bottom"/>
          </w:tcPr>
          <w:p w:rsidR="00FE0ADC" w:rsidRPr="0014706B" w:rsidRDefault="00FE0ADC" w:rsidP="0014706B">
            <w:pPr>
              <w:jc w:val="center"/>
              <w:cnfStyle w:val="000000000000"/>
              <w:rPr>
                <w:rFonts w:asciiTheme="majorBidi" w:hAnsiTheme="majorBidi" w:cstheme="majorBidi"/>
                <w:color w:val="auto"/>
                <w:sz w:val="24"/>
                <w:szCs w:val="24"/>
              </w:rPr>
            </w:pPr>
            <w:r w:rsidRPr="0014706B">
              <w:rPr>
                <w:rFonts w:asciiTheme="majorBidi" w:hAnsiTheme="majorBidi" w:cstheme="majorBidi"/>
                <w:color w:val="auto"/>
                <w:sz w:val="24"/>
                <w:szCs w:val="24"/>
              </w:rPr>
              <w:t>17</w:t>
            </w:r>
            <w:r w:rsidR="0014706B">
              <w:rPr>
                <w:rFonts w:asciiTheme="majorBidi" w:hAnsiTheme="majorBidi" w:cstheme="majorBidi"/>
                <w:color w:val="auto"/>
                <w:sz w:val="24"/>
                <w:szCs w:val="24"/>
              </w:rPr>
              <w:t>.</w:t>
            </w:r>
            <w:r w:rsidRPr="0014706B">
              <w:rPr>
                <w:rFonts w:asciiTheme="majorBidi" w:hAnsiTheme="majorBidi" w:cstheme="majorBidi"/>
                <w:color w:val="auto"/>
                <w:sz w:val="24"/>
                <w:szCs w:val="24"/>
              </w:rPr>
              <w:t>9</w:t>
            </w:r>
          </w:p>
        </w:tc>
      </w:tr>
      <w:tr w:rsidR="00FE0ADC" w:rsidRPr="0014706B" w:rsidTr="002F44E7">
        <w:trPr>
          <w:cnfStyle w:val="000000100000"/>
          <w:trHeight w:val="335"/>
        </w:trPr>
        <w:tc>
          <w:tcPr>
            <w:cnfStyle w:val="001000000000"/>
            <w:tcW w:w="3670" w:type="dxa"/>
          </w:tcPr>
          <w:p w:rsidR="00FE0ADC" w:rsidRPr="0014706B" w:rsidRDefault="00FE0ADC"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14706B">
              <w:rPr>
                <w:rFonts w:asciiTheme="majorBidi" w:hAnsiTheme="majorBidi" w:cstheme="majorBidi"/>
                <w:bCs w:val="0"/>
                <w:color w:val="auto"/>
                <w:sz w:val="24"/>
                <w:szCs w:val="24"/>
              </w:rPr>
              <w:t>Ensemble</w:t>
            </w:r>
          </w:p>
        </w:tc>
        <w:tc>
          <w:tcPr>
            <w:tcW w:w="1057" w:type="dxa"/>
            <w:vAlign w:val="bottom"/>
          </w:tcPr>
          <w:p w:rsidR="00FE0ADC" w:rsidRPr="0014706B" w:rsidRDefault="0014706B" w:rsidP="0014706B">
            <w:pPr>
              <w:jc w:val="center"/>
              <w:cnfStyle w:val="000000100000"/>
              <w:rPr>
                <w:rFonts w:asciiTheme="majorBidi" w:hAnsiTheme="majorBidi" w:cstheme="majorBidi"/>
                <w:b/>
                <w:color w:val="auto"/>
                <w:sz w:val="24"/>
                <w:szCs w:val="24"/>
              </w:rPr>
            </w:pPr>
            <w:r w:rsidRPr="0014706B">
              <w:rPr>
                <w:rFonts w:asciiTheme="majorBidi" w:hAnsiTheme="majorBidi" w:cstheme="majorBidi"/>
                <w:b/>
                <w:color w:val="auto"/>
                <w:sz w:val="24"/>
                <w:szCs w:val="24"/>
              </w:rPr>
              <w:t>68.</w:t>
            </w:r>
            <w:r w:rsidR="00FE0ADC" w:rsidRPr="0014706B">
              <w:rPr>
                <w:rFonts w:asciiTheme="majorBidi" w:hAnsiTheme="majorBidi" w:cstheme="majorBidi"/>
                <w:b/>
                <w:color w:val="auto"/>
                <w:sz w:val="24"/>
                <w:szCs w:val="24"/>
              </w:rPr>
              <w:t>9</w:t>
            </w:r>
          </w:p>
        </w:tc>
        <w:tc>
          <w:tcPr>
            <w:tcW w:w="1058" w:type="dxa"/>
            <w:vAlign w:val="bottom"/>
          </w:tcPr>
          <w:p w:rsidR="00FE0ADC" w:rsidRPr="0014706B" w:rsidRDefault="00FE0ADC" w:rsidP="0014706B">
            <w:pPr>
              <w:jc w:val="center"/>
              <w:cnfStyle w:val="000000100000"/>
              <w:rPr>
                <w:rFonts w:asciiTheme="majorBidi" w:hAnsiTheme="majorBidi" w:cstheme="majorBidi"/>
                <w:b/>
                <w:color w:val="auto"/>
                <w:sz w:val="24"/>
                <w:szCs w:val="24"/>
              </w:rPr>
            </w:pPr>
            <w:r w:rsidRPr="0014706B">
              <w:rPr>
                <w:rFonts w:asciiTheme="majorBidi" w:hAnsiTheme="majorBidi" w:cstheme="majorBidi"/>
                <w:b/>
                <w:color w:val="auto"/>
                <w:sz w:val="24"/>
                <w:szCs w:val="24"/>
              </w:rPr>
              <w:t>72</w:t>
            </w:r>
            <w:r w:rsidR="0014706B" w:rsidRPr="0014706B">
              <w:rPr>
                <w:rFonts w:asciiTheme="majorBidi" w:hAnsiTheme="majorBidi" w:cstheme="majorBidi"/>
                <w:b/>
                <w:color w:val="auto"/>
                <w:sz w:val="24"/>
                <w:szCs w:val="24"/>
              </w:rPr>
              <w:t>.</w:t>
            </w:r>
            <w:r w:rsidRPr="0014706B">
              <w:rPr>
                <w:rFonts w:asciiTheme="majorBidi" w:hAnsiTheme="majorBidi" w:cstheme="majorBidi"/>
                <w:b/>
                <w:color w:val="auto"/>
                <w:sz w:val="24"/>
                <w:szCs w:val="24"/>
              </w:rPr>
              <w:t>3</w:t>
            </w:r>
          </w:p>
        </w:tc>
        <w:tc>
          <w:tcPr>
            <w:tcW w:w="1058" w:type="dxa"/>
            <w:vAlign w:val="bottom"/>
          </w:tcPr>
          <w:p w:rsidR="00FE0ADC" w:rsidRPr="0014706B" w:rsidRDefault="00FE0ADC" w:rsidP="0014706B">
            <w:pPr>
              <w:jc w:val="center"/>
              <w:cnfStyle w:val="000000100000"/>
              <w:rPr>
                <w:rFonts w:asciiTheme="majorBidi" w:hAnsiTheme="majorBidi" w:cstheme="majorBidi"/>
                <w:b/>
                <w:color w:val="auto"/>
                <w:sz w:val="24"/>
                <w:szCs w:val="24"/>
              </w:rPr>
            </w:pPr>
            <w:r w:rsidRPr="0014706B">
              <w:rPr>
                <w:rFonts w:asciiTheme="majorBidi" w:hAnsiTheme="majorBidi" w:cstheme="majorBidi"/>
                <w:b/>
                <w:color w:val="auto"/>
                <w:sz w:val="24"/>
                <w:szCs w:val="24"/>
              </w:rPr>
              <w:t>75</w:t>
            </w:r>
            <w:r w:rsidR="0014706B" w:rsidRPr="0014706B">
              <w:rPr>
                <w:rFonts w:asciiTheme="majorBidi" w:hAnsiTheme="majorBidi" w:cstheme="majorBidi"/>
                <w:b/>
                <w:color w:val="auto"/>
                <w:sz w:val="24"/>
                <w:szCs w:val="24"/>
              </w:rPr>
              <w:t>.</w:t>
            </w:r>
            <w:r w:rsidRPr="0014706B">
              <w:rPr>
                <w:rFonts w:asciiTheme="majorBidi" w:hAnsiTheme="majorBidi" w:cstheme="majorBidi"/>
                <w:b/>
                <w:color w:val="auto"/>
                <w:sz w:val="24"/>
                <w:szCs w:val="24"/>
              </w:rPr>
              <w:t>2</w:t>
            </w:r>
          </w:p>
        </w:tc>
        <w:tc>
          <w:tcPr>
            <w:tcW w:w="1058" w:type="dxa"/>
            <w:vAlign w:val="bottom"/>
          </w:tcPr>
          <w:p w:rsidR="00FE0ADC" w:rsidRPr="0014706B" w:rsidRDefault="00FE0ADC" w:rsidP="0014706B">
            <w:pPr>
              <w:jc w:val="center"/>
              <w:cnfStyle w:val="000000100000"/>
              <w:rPr>
                <w:rFonts w:asciiTheme="majorBidi" w:hAnsiTheme="majorBidi" w:cstheme="majorBidi"/>
                <w:b/>
                <w:color w:val="auto"/>
                <w:sz w:val="24"/>
                <w:szCs w:val="24"/>
              </w:rPr>
            </w:pPr>
            <w:r w:rsidRPr="0014706B">
              <w:rPr>
                <w:rFonts w:asciiTheme="majorBidi" w:hAnsiTheme="majorBidi" w:cstheme="majorBidi"/>
                <w:b/>
                <w:color w:val="auto"/>
                <w:sz w:val="24"/>
                <w:szCs w:val="24"/>
              </w:rPr>
              <w:t>82</w:t>
            </w:r>
            <w:r w:rsidR="0014706B" w:rsidRPr="0014706B">
              <w:rPr>
                <w:rFonts w:asciiTheme="majorBidi" w:hAnsiTheme="majorBidi" w:cstheme="majorBidi"/>
                <w:b/>
                <w:color w:val="auto"/>
                <w:sz w:val="24"/>
                <w:szCs w:val="24"/>
              </w:rPr>
              <w:t>.</w:t>
            </w:r>
            <w:r w:rsidRPr="0014706B">
              <w:rPr>
                <w:rFonts w:asciiTheme="majorBidi" w:hAnsiTheme="majorBidi" w:cstheme="majorBidi"/>
                <w:b/>
                <w:color w:val="auto"/>
                <w:sz w:val="24"/>
                <w:szCs w:val="24"/>
              </w:rPr>
              <w:t>6</w:t>
            </w:r>
          </w:p>
        </w:tc>
        <w:tc>
          <w:tcPr>
            <w:tcW w:w="854" w:type="dxa"/>
            <w:vAlign w:val="bottom"/>
          </w:tcPr>
          <w:p w:rsidR="00FE0ADC" w:rsidRPr="0014706B" w:rsidRDefault="00FE0ADC" w:rsidP="0014706B">
            <w:pPr>
              <w:jc w:val="center"/>
              <w:cnfStyle w:val="000000100000"/>
              <w:rPr>
                <w:rFonts w:asciiTheme="majorBidi" w:hAnsiTheme="majorBidi" w:cstheme="majorBidi"/>
                <w:b/>
                <w:color w:val="auto"/>
                <w:sz w:val="24"/>
                <w:szCs w:val="24"/>
              </w:rPr>
            </w:pPr>
            <w:r w:rsidRPr="0014706B">
              <w:rPr>
                <w:rFonts w:asciiTheme="majorBidi" w:hAnsiTheme="majorBidi" w:cstheme="majorBidi"/>
                <w:b/>
                <w:color w:val="auto"/>
                <w:sz w:val="24"/>
                <w:szCs w:val="24"/>
              </w:rPr>
              <w:t>75</w:t>
            </w:r>
            <w:r w:rsidR="0014706B" w:rsidRPr="0014706B">
              <w:rPr>
                <w:rFonts w:asciiTheme="majorBidi" w:hAnsiTheme="majorBidi" w:cstheme="majorBidi"/>
                <w:b/>
                <w:color w:val="auto"/>
                <w:sz w:val="24"/>
                <w:szCs w:val="24"/>
              </w:rPr>
              <w:t>.</w:t>
            </w:r>
            <w:r w:rsidRPr="0014706B">
              <w:rPr>
                <w:rFonts w:asciiTheme="majorBidi" w:hAnsiTheme="majorBidi" w:cstheme="majorBidi"/>
                <w:b/>
                <w:color w:val="auto"/>
                <w:sz w:val="24"/>
                <w:szCs w:val="24"/>
              </w:rPr>
              <w:t>0</w:t>
            </w:r>
          </w:p>
        </w:tc>
      </w:tr>
    </w:tbl>
    <w:p w:rsidR="00FE0ADC" w:rsidRPr="00DC206E" w:rsidRDefault="00FE0ADC" w:rsidP="00FE0ADC">
      <w:pPr>
        <w:ind w:firstLine="708"/>
        <w:rPr>
          <w:rFonts w:asciiTheme="majorBidi" w:hAnsiTheme="majorBidi" w:cstheme="majorBidi"/>
          <w:sz w:val="24"/>
          <w:szCs w:val="24"/>
        </w:rPr>
      </w:pPr>
      <w:r w:rsidRPr="0039019E">
        <w:rPr>
          <w:rFonts w:asciiTheme="majorBidi" w:hAnsiTheme="majorBidi" w:cstheme="majorBidi"/>
        </w:rPr>
        <w:t>Source : Traitements effectués par les auteurs à partir des données de l’ENPA 2006, HCP.</w:t>
      </w:r>
    </w:p>
    <w:p w:rsidR="00FE0ADC" w:rsidRDefault="00FE0ADC" w:rsidP="00FE0ADC">
      <w:pPr>
        <w:autoSpaceDE w:val="0"/>
        <w:autoSpaceDN w:val="0"/>
        <w:adjustRightInd w:val="0"/>
        <w:spacing w:before="100" w:beforeAutospacing="1" w:after="100" w:afterAutospacing="1" w:line="360" w:lineRule="auto"/>
        <w:jc w:val="both"/>
        <w:rPr>
          <w:rFonts w:asciiTheme="minorBidi" w:hAnsiTheme="minorBidi"/>
          <w:sz w:val="26"/>
          <w:szCs w:val="26"/>
        </w:rPr>
      </w:pPr>
    </w:p>
    <w:p w:rsidR="00544503" w:rsidRDefault="00544503" w:rsidP="003144F4">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La prise en charge des personnes âgées par leurs enfants ou par des membres de leurs ménages ou de leurs familles est d'autant plus importante que le ménage est élargi. En effet, les personnes âgées vivant dans des ménages composés sont les plus nombreuses à recevoir des aides matérielles que les personnes âgées vivant dans des ménages individuels</w:t>
      </w:r>
      <w:r w:rsidR="003144F4">
        <w:rPr>
          <w:rFonts w:asciiTheme="majorBidi" w:hAnsiTheme="majorBidi" w:cstheme="majorBidi"/>
          <w:sz w:val="24"/>
          <w:szCs w:val="24"/>
        </w:rPr>
        <w:t xml:space="preserve"> ou dans des ménages nucléaires, soit respectivement 81.3% et 63.1%. Les personnes âgées à la tête des ménages monoparentaux sont également plus nombreuses à recevoir de l'aide matérielle de la part de leurs enfants ou des membres proches, soit 81.4%. Ces personnes âgées sont généralement des femmes veuves qui ne comptent que sur le soutien économique de leurs enfants ou des membres de leurs famillles.</w:t>
      </w:r>
    </w:p>
    <w:p w:rsidR="00544503" w:rsidRPr="0014706B" w:rsidRDefault="00544503" w:rsidP="00544503">
      <w:pPr>
        <w:pStyle w:val="Sous-titre"/>
        <w:numPr>
          <w:ilvl w:val="0"/>
          <w:numId w:val="0"/>
        </w:numPr>
        <w:spacing w:before="100" w:beforeAutospacing="1" w:after="0"/>
        <w:jc w:val="center"/>
        <w:rPr>
          <w:rStyle w:val="Emphaseple"/>
          <w:b/>
          <w:bCs/>
          <w:color w:val="auto"/>
        </w:rPr>
      </w:pPr>
      <w:r w:rsidRPr="00DC6A0B">
        <w:rPr>
          <w:rStyle w:val="Emphaseple"/>
          <w:b/>
          <w:bCs/>
          <w:color w:val="auto"/>
        </w:rPr>
        <w:t>Tableau 1</w:t>
      </w:r>
      <w:r>
        <w:rPr>
          <w:rStyle w:val="Emphaseple"/>
          <w:b/>
          <w:bCs/>
          <w:color w:val="auto"/>
        </w:rPr>
        <w:t>6</w:t>
      </w:r>
      <w:r w:rsidRPr="00DC6A0B">
        <w:rPr>
          <w:rStyle w:val="Emphaseple"/>
          <w:b/>
          <w:bCs/>
          <w:color w:val="auto"/>
        </w:rPr>
        <w:t xml:space="preserve"> : Répartition (en %) des personnes âgées selon </w:t>
      </w:r>
      <w:r>
        <w:rPr>
          <w:rStyle w:val="Emphaseple"/>
          <w:b/>
          <w:bCs/>
          <w:color w:val="auto"/>
        </w:rPr>
        <w:t>la typologie du ménage</w:t>
      </w:r>
      <w:r w:rsidRPr="00DC6A0B">
        <w:rPr>
          <w:rStyle w:val="Emphaseple"/>
          <w:b/>
          <w:bCs/>
          <w:color w:val="auto"/>
        </w:rPr>
        <w:t xml:space="preserve"> et l'aide matérielle des proches</w:t>
      </w:r>
    </w:p>
    <w:tbl>
      <w:tblPr>
        <w:tblStyle w:val="ListTable6Colorful-Accent31"/>
        <w:tblW w:w="8755" w:type="dxa"/>
        <w:tblLayout w:type="fixed"/>
        <w:tblLook w:val="04A0"/>
      </w:tblPr>
      <w:tblGrid>
        <w:gridCol w:w="3670"/>
        <w:gridCol w:w="1057"/>
        <w:gridCol w:w="1058"/>
        <w:gridCol w:w="1058"/>
        <w:gridCol w:w="920"/>
        <w:gridCol w:w="992"/>
      </w:tblGrid>
      <w:tr w:rsidR="0014706B" w:rsidRPr="0039019E" w:rsidTr="00544503">
        <w:trPr>
          <w:cnfStyle w:val="100000000000"/>
          <w:trHeight w:val="279"/>
        </w:trPr>
        <w:tc>
          <w:tcPr>
            <w:cnfStyle w:val="001000000000"/>
            <w:tcW w:w="3670" w:type="dxa"/>
            <w:vMerge w:val="restart"/>
          </w:tcPr>
          <w:p w:rsidR="0014706B" w:rsidRPr="0039019E" w:rsidRDefault="0014706B" w:rsidP="002F44E7">
            <w:pPr>
              <w:jc w:val="center"/>
              <w:rPr>
                <w:rFonts w:asciiTheme="majorBidi" w:hAnsiTheme="majorBidi" w:cstheme="majorBidi"/>
                <w:bCs w:val="0"/>
                <w:color w:val="auto"/>
                <w:sz w:val="24"/>
                <w:szCs w:val="24"/>
              </w:rPr>
            </w:pPr>
          </w:p>
          <w:p w:rsidR="0014706B" w:rsidRPr="0039019E" w:rsidRDefault="0014706B" w:rsidP="002F44E7">
            <w:pPr>
              <w:jc w:val="center"/>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Personne donnant de l'aide matérielle</w:t>
            </w:r>
          </w:p>
        </w:tc>
        <w:tc>
          <w:tcPr>
            <w:tcW w:w="4093" w:type="dxa"/>
            <w:gridSpan w:val="4"/>
          </w:tcPr>
          <w:p w:rsidR="0014706B" w:rsidRPr="0039019E" w:rsidRDefault="0014706B" w:rsidP="002F44E7">
            <w:pPr>
              <w:jc w:val="center"/>
              <w:cnfStyle w:val="100000000000"/>
              <w:rPr>
                <w:rFonts w:asciiTheme="majorBidi" w:hAnsiTheme="majorBidi" w:cstheme="majorBidi"/>
                <w:color w:val="auto"/>
                <w:sz w:val="24"/>
                <w:szCs w:val="24"/>
              </w:rPr>
            </w:pPr>
            <w:r>
              <w:rPr>
                <w:rFonts w:asciiTheme="majorBidi" w:hAnsiTheme="majorBidi" w:cstheme="majorBidi"/>
                <w:bCs w:val="0"/>
                <w:color w:val="auto"/>
                <w:sz w:val="24"/>
                <w:szCs w:val="24"/>
              </w:rPr>
              <w:t>Type de ménage</w:t>
            </w:r>
          </w:p>
        </w:tc>
        <w:tc>
          <w:tcPr>
            <w:tcW w:w="992" w:type="dxa"/>
            <w:vMerge w:val="restart"/>
          </w:tcPr>
          <w:p w:rsidR="0014706B" w:rsidRPr="0039019E" w:rsidRDefault="0014706B" w:rsidP="002F44E7">
            <w:pPr>
              <w:jc w:val="center"/>
              <w:cnfStyle w:val="100000000000"/>
              <w:rPr>
                <w:rFonts w:asciiTheme="majorBidi" w:hAnsiTheme="majorBidi" w:cstheme="majorBidi"/>
                <w:color w:val="auto"/>
                <w:sz w:val="24"/>
                <w:szCs w:val="24"/>
              </w:rPr>
            </w:pPr>
          </w:p>
          <w:p w:rsidR="0014706B" w:rsidRPr="00544503" w:rsidRDefault="0014706B" w:rsidP="002F44E7">
            <w:pPr>
              <w:jc w:val="center"/>
              <w:cnfStyle w:val="100000000000"/>
              <w:rPr>
                <w:rFonts w:asciiTheme="majorBidi" w:hAnsiTheme="majorBidi" w:cstheme="majorBidi"/>
                <w:color w:val="auto"/>
                <w:sz w:val="18"/>
                <w:szCs w:val="18"/>
              </w:rPr>
            </w:pPr>
            <w:r w:rsidRPr="00544503">
              <w:rPr>
                <w:rFonts w:asciiTheme="majorBidi" w:hAnsiTheme="majorBidi" w:cstheme="majorBidi"/>
                <w:bCs w:val="0"/>
                <w:color w:val="auto"/>
                <w:sz w:val="18"/>
                <w:szCs w:val="18"/>
              </w:rPr>
              <w:t>Ménage composé</w:t>
            </w:r>
          </w:p>
        </w:tc>
      </w:tr>
      <w:tr w:rsidR="0014706B" w:rsidRPr="0039019E" w:rsidTr="00544503">
        <w:trPr>
          <w:cnfStyle w:val="000000100000"/>
          <w:trHeight w:val="561"/>
        </w:trPr>
        <w:tc>
          <w:tcPr>
            <w:cnfStyle w:val="001000000000"/>
            <w:tcW w:w="3670" w:type="dxa"/>
            <w:vMerge/>
          </w:tcPr>
          <w:p w:rsidR="0014706B" w:rsidRPr="0039019E" w:rsidRDefault="0014706B" w:rsidP="002F44E7">
            <w:pPr>
              <w:rPr>
                <w:rFonts w:asciiTheme="majorBidi" w:hAnsiTheme="majorBidi" w:cstheme="majorBidi"/>
                <w:bCs w:val="0"/>
                <w:color w:val="auto"/>
                <w:sz w:val="24"/>
                <w:szCs w:val="24"/>
              </w:rPr>
            </w:pPr>
          </w:p>
        </w:tc>
        <w:tc>
          <w:tcPr>
            <w:tcW w:w="1057" w:type="dxa"/>
          </w:tcPr>
          <w:p w:rsidR="0014706B" w:rsidRPr="0014706B" w:rsidRDefault="0014706B" w:rsidP="002F44E7">
            <w:pPr>
              <w:jc w:val="center"/>
              <w:cnfStyle w:val="000000100000"/>
              <w:rPr>
                <w:rFonts w:asciiTheme="majorBidi" w:hAnsiTheme="majorBidi" w:cstheme="majorBidi"/>
                <w:b/>
                <w:color w:val="auto"/>
                <w:sz w:val="18"/>
                <w:szCs w:val="18"/>
              </w:rPr>
            </w:pPr>
            <w:r w:rsidRPr="0014706B">
              <w:rPr>
                <w:rFonts w:asciiTheme="majorBidi" w:hAnsiTheme="majorBidi" w:cstheme="majorBidi"/>
                <w:b/>
                <w:color w:val="auto"/>
                <w:sz w:val="18"/>
                <w:szCs w:val="18"/>
              </w:rPr>
              <w:t>Ménage indiv</w:t>
            </w:r>
            <w:r>
              <w:rPr>
                <w:rFonts w:asciiTheme="majorBidi" w:hAnsiTheme="majorBidi" w:cstheme="majorBidi"/>
                <w:b/>
                <w:color w:val="auto"/>
                <w:sz w:val="18"/>
                <w:szCs w:val="18"/>
              </w:rPr>
              <w:t>iduel</w:t>
            </w:r>
          </w:p>
        </w:tc>
        <w:tc>
          <w:tcPr>
            <w:tcW w:w="1058" w:type="dxa"/>
          </w:tcPr>
          <w:p w:rsidR="0014706B" w:rsidRPr="0014706B" w:rsidRDefault="0014706B" w:rsidP="002F44E7">
            <w:pPr>
              <w:jc w:val="center"/>
              <w:cnfStyle w:val="000000100000"/>
              <w:rPr>
                <w:rFonts w:asciiTheme="majorBidi" w:hAnsiTheme="majorBidi" w:cstheme="majorBidi"/>
                <w:b/>
                <w:color w:val="auto"/>
                <w:sz w:val="18"/>
                <w:szCs w:val="18"/>
              </w:rPr>
            </w:pPr>
            <w:r w:rsidRPr="0014706B">
              <w:rPr>
                <w:rFonts w:asciiTheme="majorBidi" w:hAnsiTheme="majorBidi" w:cstheme="majorBidi"/>
                <w:b/>
                <w:color w:val="auto"/>
                <w:sz w:val="18"/>
                <w:szCs w:val="18"/>
              </w:rPr>
              <w:t>Ménage nucléaire incomplet</w:t>
            </w:r>
          </w:p>
        </w:tc>
        <w:tc>
          <w:tcPr>
            <w:tcW w:w="1058" w:type="dxa"/>
          </w:tcPr>
          <w:p w:rsidR="0014706B" w:rsidRPr="0014706B" w:rsidRDefault="0014706B" w:rsidP="002F44E7">
            <w:pPr>
              <w:jc w:val="center"/>
              <w:cnfStyle w:val="000000100000"/>
              <w:rPr>
                <w:rFonts w:asciiTheme="majorBidi" w:hAnsiTheme="majorBidi" w:cstheme="majorBidi"/>
                <w:b/>
                <w:color w:val="auto"/>
                <w:sz w:val="18"/>
                <w:szCs w:val="18"/>
              </w:rPr>
            </w:pPr>
            <w:r w:rsidRPr="0014706B">
              <w:rPr>
                <w:rFonts w:asciiTheme="majorBidi" w:hAnsiTheme="majorBidi" w:cstheme="majorBidi"/>
                <w:b/>
                <w:color w:val="auto"/>
                <w:sz w:val="18"/>
                <w:szCs w:val="18"/>
              </w:rPr>
              <w:t>Ménage nucléaire complet</w:t>
            </w:r>
          </w:p>
        </w:tc>
        <w:tc>
          <w:tcPr>
            <w:tcW w:w="920" w:type="dxa"/>
          </w:tcPr>
          <w:p w:rsidR="0014706B" w:rsidRPr="0014706B" w:rsidRDefault="0014706B" w:rsidP="002F44E7">
            <w:pPr>
              <w:jc w:val="center"/>
              <w:cnfStyle w:val="000000100000"/>
              <w:rPr>
                <w:rFonts w:asciiTheme="majorBidi" w:hAnsiTheme="majorBidi" w:cstheme="majorBidi"/>
                <w:b/>
                <w:color w:val="auto"/>
                <w:sz w:val="18"/>
                <w:szCs w:val="18"/>
              </w:rPr>
            </w:pPr>
            <w:r w:rsidRPr="0014706B">
              <w:rPr>
                <w:rFonts w:asciiTheme="majorBidi" w:hAnsiTheme="majorBidi" w:cstheme="majorBidi"/>
                <w:b/>
                <w:color w:val="auto"/>
                <w:sz w:val="18"/>
                <w:szCs w:val="18"/>
              </w:rPr>
              <w:t>Ménage monoparental</w:t>
            </w:r>
          </w:p>
        </w:tc>
        <w:tc>
          <w:tcPr>
            <w:tcW w:w="992" w:type="dxa"/>
            <w:vMerge/>
          </w:tcPr>
          <w:p w:rsidR="0014706B" w:rsidRPr="0039019E" w:rsidRDefault="0014706B" w:rsidP="002F44E7">
            <w:pPr>
              <w:jc w:val="center"/>
              <w:cnfStyle w:val="000000100000"/>
              <w:rPr>
                <w:rFonts w:asciiTheme="majorBidi" w:hAnsiTheme="majorBidi" w:cstheme="majorBidi"/>
                <w:color w:val="auto"/>
                <w:sz w:val="24"/>
                <w:szCs w:val="24"/>
              </w:rPr>
            </w:pPr>
          </w:p>
        </w:tc>
      </w:tr>
      <w:tr w:rsidR="00544503" w:rsidRPr="0039019E" w:rsidTr="00544503">
        <w:trPr>
          <w:trHeight w:val="267"/>
        </w:trPr>
        <w:tc>
          <w:tcPr>
            <w:cnfStyle w:val="001000000000"/>
            <w:tcW w:w="3670" w:type="dxa"/>
          </w:tcPr>
          <w:p w:rsidR="00544503" w:rsidRPr="00DC6A0B" w:rsidRDefault="00544503"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Enfants</w:t>
            </w:r>
          </w:p>
        </w:tc>
        <w:tc>
          <w:tcPr>
            <w:tcW w:w="1057"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56</w:t>
            </w:r>
            <w:r>
              <w:rPr>
                <w:rFonts w:asciiTheme="majorBidi" w:hAnsiTheme="majorBidi" w:cstheme="majorBidi"/>
                <w:color w:val="auto"/>
                <w:sz w:val="24"/>
                <w:szCs w:val="24"/>
              </w:rPr>
              <w:t>.</w:t>
            </w:r>
            <w:r w:rsidRPr="00544503">
              <w:rPr>
                <w:rFonts w:asciiTheme="majorBidi" w:hAnsiTheme="majorBidi" w:cstheme="majorBidi"/>
                <w:color w:val="auto"/>
                <w:sz w:val="24"/>
                <w:szCs w:val="24"/>
              </w:rPr>
              <w:t>3</w:t>
            </w:r>
          </w:p>
        </w:tc>
        <w:tc>
          <w:tcPr>
            <w:tcW w:w="1058"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56</w:t>
            </w:r>
            <w:r>
              <w:rPr>
                <w:rFonts w:asciiTheme="majorBidi" w:hAnsiTheme="majorBidi" w:cstheme="majorBidi"/>
                <w:color w:val="auto"/>
                <w:sz w:val="24"/>
                <w:szCs w:val="24"/>
              </w:rPr>
              <w:t>.</w:t>
            </w:r>
            <w:r w:rsidRPr="00544503">
              <w:rPr>
                <w:rFonts w:asciiTheme="majorBidi" w:hAnsiTheme="majorBidi" w:cstheme="majorBidi"/>
                <w:color w:val="auto"/>
                <w:sz w:val="24"/>
                <w:szCs w:val="24"/>
              </w:rPr>
              <w:t>3</w:t>
            </w:r>
          </w:p>
        </w:tc>
        <w:tc>
          <w:tcPr>
            <w:tcW w:w="1058"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57</w:t>
            </w:r>
            <w:r>
              <w:rPr>
                <w:rFonts w:asciiTheme="majorBidi" w:hAnsiTheme="majorBidi" w:cstheme="majorBidi"/>
                <w:color w:val="auto"/>
                <w:sz w:val="24"/>
                <w:szCs w:val="24"/>
              </w:rPr>
              <w:t>.</w:t>
            </w:r>
            <w:r w:rsidRPr="00544503">
              <w:rPr>
                <w:rFonts w:asciiTheme="majorBidi" w:hAnsiTheme="majorBidi" w:cstheme="majorBidi"/>
                <w:color w:val="auto"/>
                <w:sz w:val="24"/>
                <w:szCs w:val="24"/>
              </w:rPr>
              <w:t>7</w:t>
            </w:r>
          </w:p>
        </w:tc>
        <w:tc>
          <w:tcPr>
            <w:tcW w:w="920"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74</w:t>
            </w:r>
            <w:r>
              <w:rPr>
                <w:rFonts w:asciiTheme="majorBidi" w:hAnsiTheme="majorBidi" w:cstheme="majorBidi"/>
                <w:color w:val="auto"/>
                <w:sz w:val="24"/>
                <w:szCs w:val="24"/>
              </w:rPr>
              <w:t>.</w:t>
            </w:r>
            <w:r w:rsidRPr="00544503">
              <w:rPr>
                <w:rFonts w:asciiTheme="majorBidi" w:hAnsiTheme="majorBidi" w:cstheme="majorBidi"/>
                <w:color w:val="auto"/>
                <w:sz w:val="24"/>
                <w:szCs w:val="24"/>
              </w:rPr>
              <w:t>5</w:t>
            </w:r>
          </w:p>
        </w:tc>
        <w:tc>
          <w:tcPr>
            <w:tcW w:w="992"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75</w:t>
            </w:r>
            <w:r>
              <w:rPr>
                <w:rFonts w:asciiTheme="majorBidi" w:hAnsiTheme="majorBidi" w:cstheme="majorBidi"/>
                <w:color w:val="auto"/>
                <w:sz w:val="24"/>
                <w:szCs w:val="24"/>
              </w:rPr>
              <w:t>.</w:t>
            </w:r>
            <w:r w:rsidRPr="00544503">
              <w:rPr>
                <w:rFonts w:asciiTheme="majorBidi" w:hAnsiTheme="majorBidi" w:cstheme="majorBidi"/>
                <w:color w:val="auto"/>
                <w:sz w:val="24"/>
                <w:szCs w:val="24"/>
              </w:rPr>
              <w:t>1</w:t>
            </w:r>
          </w:p>
        </w:tc>
      </w:tr>
      <w:tr w:rsidR="00544503" w:rsidRPr="0039019E" w:rsidTr="00544503">
        <w:trPr>
          <w:cnfStyle w:val="000000100000"/>
          <w:trHeight w:val="279"/>
        </w:trPr>
        <w:tc>
          <w:tcPr>
            <w:cnfStyle w:val="001000000000"/>
            <w:tcW w:w="3670" w:type="dxa"/>
          </w:tcPr>
          <w:p w:rsidR="00544503" w:rsidRPr="00DC6A0B" w:rsidRDefault="00544503"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Membre du ménage</w:t>
            </w:r>
          </w:p>
        </w:tc>
        <w:tc>
          <w:tcPr>
            <w:tcW w:w="1057"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5</w:t>
            </w:r>
            <w:r>
              <w:rPr>
                <w:rFonts w:asciiTheme="majorBidi" w:hAnsiTheme="majorBidi" w:cstheme="majorBidi"/>
                <w:color w:val="auto"/>
                <w:sz w:val="24"/>
                <w:szCs w:val="24"/>
              </w:rPr>
              <w:t>.</w:t>
            </w:r>
            <w:r w:rsidRPr="00544503">
              <w:rPr>
                <w:rFonts w:asciiTheme="majorBidi" w:hAnsiTheme="majorBidi" w:cstheme="majorBidi"/>
                <w:color w:val="auto"/>
                <w:sz w:val="24"/>
                <w:szCs w:val="24"/>
              </w:rPr>
              <w:t>7</w:t>
            </w:r>
          </w:p>
        </w:tc>
        <w:tc>
          <w:tcPr>
            <w:tcW w:w="1058"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18</w:t>
            </w:r>
            <w:r>
              <w:rPr>
                <w:rFonts w:asciiTheme="majorBidi" w:hAnsiTheme="majorBidi" w:cstheme="majorBidi"/>
                <w:color w:val="auto"/>
                <w:sz w:val="24"/>
                <w:szCs w:val="24"/>
              </w:rPr>
              <w:t>.</w:t>
            </w:r>
            <w:r w:rsidRPr="00544503">
              <w:rPr>
                <w:rFonts w:asciiTheme="majorBidi" w:hAnsiTheme="majorBidi" w:cstheme="majorBidi"/>
                <w:color w:val="auto"/>
                <w:sz w:val="24"/>
                <w:szCs w:val="24"/>
              </w:rPr>
              <w:t>3</w:t>
            </w:r>
          </w:p>
        </w:tc>
        <w:tc>
          <w:tcPr>
            <w:tcW w:w="1058"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17</w:t>
            </w:r>
            <w:r>
              <w:rPr>
                <w:rFonts w:asciiTheme="majorBidi" w:hAnsiTheme="majorBidi" w:cstheme="majorBidi"/>
                <w:color w:val="auto"/>
                <w:sz w:val="24"/>
                <w:szCs w:val="24"/>
              </w:rPr>
              <w:t>.</w:t>
            </w:r>
            <w:r w:rsidRPr="00544503">
              <w:rPr>
                <w:rFonts w:asciiTheme="majorBidi" w:hAnsiTheme="majorBidi" w:cstheme="majorBidi"/>
                <w:color w:val="auto"/>
                <w:sz w:val="24"/>
                <w:szCs w:val="24"/>
              </w:rPr>
              <w:t>8</w:t>
            </w:r>
          </w:p>
        </w:tc>
        <w:tc>
          <w:tcPr>
            <w:tcW w:w="920"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25</w:t>
            </w:r>
            <w:r>
              <w:rPr>
                <w:rFonts w:asciiTheme="majorBidi" w:hAnsiTheme="majorBidi" w:cstheme="majorBidi"/>
                <w:color w:val="auto"/>
                <w:sz w:val="24"/>
                <w:szCs w:val="24"/>
              </w:rPr>
              <w:t>.</w:t>
            </w:r>
            <w:r w:rsidRPr="00544503">
              <w:rPr>
                <w:rFonts w:asciiTheme="majorBidi" w:hAnsiTheme="majorBidi" w:cstheme="majorBidi"/>
                <w:color w:val="auto"/>
                <w:sz w:val="24"/>
                <w:szCs w:val="24"/>
              </w:rPr>
              <w:t>8</w:t>
            </w:r>
          </w:p>
        </w:tc>
        <w:tc>
          <w:tcPr>
            <w:tcW w:w="992"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32</w:t>
            </w:r>
            <w:r>
              <w:rPr>
                <w:rFonts w:asciiTheme="majorBidi" w:hAnsiTheme="majorBidi" w:cstheme="majorBidi"/>
                <w:color w:val="auto"/>
                <w:sz w:val="24"/>
                <w:szCs w:val="24"/>
              </w:rPr>
              <w:t>.</w:t>
            </w:r>
            <w:r w:rsidRPr="00544503">
              <w:rPr>
                <w:rFonts w:asciiTheme="majorBidi" w:hAnsiTheme="majorBidi" w:cstheme="majorBidi"/>
                <w:color w:val="auto"/>
                <w:sz w:val="24"/>
                <w:szCs w:val="24"/>
              </w:rPr>
              <w:t>1</w:t>
            </w:r>
          </w:p>
        </w:tc>
      </w:tr>
      <w:tr w:rsidR="00544503" w:rsidRPr="0039019E" w:rsidTr="00544503">
        <w:trPr>
          <w:trHeight w:val="335"/>
        </w:trPr>
        <w:tc>
          <w:tcPr>
            <w:cnfStyle w:val="001000000000"/>
            <w:tcW w:w="3670" w:type="dxa"/>
          </w:tcPr>
          <w:p w:rsidR="00544503" w:rsidRPr="00DC6A0B" w:rsidRDefault="00544503"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DC6A0B">
              <w:rPr>
                <w:rFonts w:asciiTheme="majorBidi" w:hAnsiTheme="majorBidi" w:cstheme="majorBidi"/>
                <w:bCs w:val="0"/>
                <w:color w:val="auto"/>
                <w:sz w:val="24"/>
                <w:szCs w:val="24"/>
              </w:rPr>
              <w:t>Membre de la famille</w:t>
            </w:r>
          </w:p>
        </w:tc>
        <w:tc>
          <w:tcPr>
            <w:tcW w:w="1057"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26</w:t>
            </w:r>
            <w:r>
              <w:rPr>
                <w:rFonts w:asciiTheme="majorBidi" w:hAnsiTheme="majorBidi" w:cstheme="majorBidi"/>
                <w:color w:val="auto"/>
                <w:sz w:val="24"/>
                <w:szCs w:val="24"/>
              </w:rPr>
              <w:t>.</w:t>
            </w:r>
            <w:r w:rsidRPr="00544503">
              <w:rPr>
                <w:rFonts w:asciiTheme="majorBidi" w:hAnsiTheme="majorBidi" w:cstheme="majorBidi"/>
                <w:color w:val="auto"/>
                <w:sz w:val="24"/>
                <w:szCs w:val="24"/>
              </w:rPr>
              <w:t>0</w:t>
            </w:r>
          </w:p>
        </w:tc>
        <w:tc>
          <w:tcPr>
            <w:tcW w:w="1058"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16</w:t>
            </w:r>
            <w:r>
              <w:rPr>
                <w:rFonts w:asciiTheme="majorBidi" w:hAnsiTheme="majorBidi" w:cstheme="majorBidi"/>
                <w:color w:val="auto"/>
                <w:sz w:val="24"/>
                <w:szCs w:val="24"/>
              </w:rPr>
              <w:t>.</w:t>
            </w:r>
            <w:r w:rsidRPr="00544503">
              <w:rPr>
                <w:rFonts w:asciiTheme="majorBidi" w:hAnsiTheme="majorBidi" w:cstheme="majorBidi"/>
                <w:color w:val="auto"/>
                <w:sz w:val="24"/>
                <w:szCs w:val="24"/>
              </w:rPr>
              <w:t>9</w:t>
            </w:r>
          </w:p>
        </w:tc>
        <w:tc>
          <w:tcPr>
            <w:tcW w:w="1058"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12</w:t>
            </w:r>
            <w:r>
              <w:rPr>
                <w:rFonts w:asciiTheme="majorBidi" w:hAnsiTheme="majorBidi" w:cstheme="majorBidi"/>
                <w:color w:val="auto"/>
                <w:sz w:val="24"/>
                <w:szCs w:val="24"/>
              </w:rPr>
              <w:t>.</w:t>
            </w:r>
            <w:r w:rsidRPr="00544503">
              <w:rPr>
                <w:rFonts w:asciiTheme="majorBidi" w:hAnsiTheme="majorBidi" w:cstheme="majorBidi"/>
                <w:color w:val="auto"/>
                <w:sz w:val="24"/>
                <w:szCs w:val="24"/>
              </w:rPr>
              <w:t>5</w:t>
            </w:r>
          </w:p>
        </w:tc>
        <w:tc>
          <w:tcPr>
            <w:tcW w:w="920"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23</w:t>
            </w:r>
            <w:r>
              <w:rPr>
                <w:rFonts w:asciiTheme="majorBidi" w:hAnsiTheme="majorBidi" w:cstheme="majorBidi"/>
                <w:color w:val="auto"/>
                <w:sz w:val="24"/>
                <w:szCs w:val="24"/>
              </w:rPr>
              <w:t>.</w:t>
            </w:r>
            <w:r w:rsidRPr="00544503">
              <w:rPr>
                <w:rFonts w:asciiTheme="majorBidi" w:hAnsiTheme="majorBidi" w:cstheme="majorBidi"/>
                <w:color w:val="auto"/>
                <w:sz w:val="24"/>
                <w:szCs w:val="24"/>
              </w:rPr>
              <w:t>7</w:t>
            </w:r>
          </w:p>
        </w:tc>
        <w:tc>
          <w:tcPr>
            <w:tcW w:w="992" w:type="dxa"/>
            <w:vAlign w:val="bottom"/>
          </w:tcPr>
          <w:p w:rsidR="00544503" w:rsidRPr="00544503" w:rsidRDefault="00544503" w:rsidP="00544503">
            <w:pPr>
              <w:jc w:val="center"/>
              <w:cnfStyle w:val="000000000000"/>
              <w:rPr>
                <w:rFonts w:asciiTheme="majorBidi" w:hAnsiTheme="majorBidi" w:cstheme="majorBidi"/>
                <w:color w:val="auto"/>
                <w:sz w:val="24"/>
                <w:szCs w:val="24"/>
              </w:rPr>
            </w:pPr>
            <w:r w:rsidRPr="00544503">
              <w:rPr>
                <w:rFonts w:asciiTheme="majorBidi" w:hAnsiTheme="majorBidi" w:cstheme="majorBidi"/>
                <w:color w:val="auto"/>
                <w:sz w:val="24"/>
                <w:szCs w:val="24"/>
              </w:rPr>
              <w:t>18</w:t>
            </w:r>
            <w:r>
              <w:rPr>
                <w:rFonts w:asciiTheme="majorBidi" w:hAnsiTheme="majorBidi" w:cstheme="majorBidi"/>
                <w:color w:val="auto"/>
                <w:sz w:val="24"/>
                <w:szCs w:val="24"/>
              </w:rPr>
              <w:t>.</w:t>
            </w:r>
            <w:r w:rsidRPr="00544503">
              <w:rPr>
                <w:rFonts w:asciiTheme="majorBidi" w:hAnsiTheme="majorBidi" w:cstheme="majorBidi"/>
                <w:color w:val="auto"/>
                <w:sz w:val="24"/>
                <w:szCs w:val="24"/>
              </w:rPr>
              <w:t>5</w:t>
            </w:r>
          </w:p>
        </w:tc>
      </w:tr>
      <w:tr w:rsidR="00544503" w:rsidRPr="0014706B" w:rsidTr="00544503">
        <w:trPr>
          <w:cnfStyle w:val="000000100000"/>
          <w:trHeight w:val="335"/>
        </w:trPr>
        <w:tc>
          <w:tcPr>
            <w:cnfStyle w:val="001000000000"/>
            <w:tcW w:w="3670" w:type="dxa"/>
          </w:tcPr>
          <w:p w:rsidR="00544503" w:rsidRPr="0014706B" w:rsidRDefault="00544503" w:rsidP="002F44E7">
            <w:pPr>
              <w:autoSpaceDE w:val="0"/>
              <w:autoSpaceDN w:val="0"/>
              <w:adjustRightInd w:val="0"/>
              <w:spacing w:before="100" w:beforeAutospacing="1" w:after="100" w:afterAutospacing="1" w:line="360" w:lineRule="auto"/>
              <w:jc w:val="both"/>
              <w:rPr>
                <w:rFonts w:asciiTheme="majorBidi" w:hAnsiTheme="majorBidi" w:cstheme="majorBidi"/>
                <w:bCs w:val="0"/>
                <w:color w:val="auto"/>
                <w:sz w:val="24"/>
                <w:szCs w:val="24"/>
              </w:rPr>
            </w:pPr>
            <w:r w:rsidRPr="0014706B">
              <w:rPr>
                <w:rFonts w:asciiTheme="majorBidi" w:hAnsiTheme="majorBidi" w:cstheme="majorBidi"/>
                <w:bCs w:val="0"/>
                <w:color w:val="auto"/>
                <w:sz w:val="24"/>
                <w:szCs w:val="24"/>
              </w:rPr>
              <w:t>Ensemble</w:t>
            </w:r>
          </w:p>
        </w:tc>
        <w:tc>
          <w:tcPr>
            <w:tcW w:w="1057"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65</w:t>
            </w:r>
            <w:r>
              <w:rPr>
                <w:rFonts w:asciiTheme="majorBidi" w:hAnsiTheme="majorBidi" w:cstheme="majorBidi"/>
                <w:color w:val="auto"/>
                <w:sz w:val="24"/>
                <w:szCs w:val="24"/>
              </w:rPr>
              <w:t>.</w:t>
            </w:r>
            <w:r w:rsidRPr="00544503">
              <w:rPr>
                <w:rFonts w:asciiTheme="majorBidi" w:hAnsiTheme="majorBidi" w:cstheme="majorBidi"/>
                <w:color w:val="auto"/>
                <w:sz w:val="24"/>
                <w:szCs w:val="24"/>
              </w:rPr>
              <w:t>3</w:t>
            </w:r>
          </w:p>
        </w:tc>
        <w:tc>
          <w:tcPr>
            <w:tcW w:w="1058"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67</w:t>
            </w:r>
            <w:r>
              <w:rPr>
                <w:rFonts w:asciiTheme="majorBidi" w:hAnsiTheme="majorBidi" w:cstheme="majorBidi"/>
                <w:color w:val="auto"/>
                <w:sz w:val="24"/>
                <w:szCs w:val="24"/>
              </w:rPr>
              <w:t>.</w:t>
            </w:r>
            <w:r w:rsidRPr="00544503">
              <w:rPr>
                <w:rFonts w:asciiTheme="majorBidi" w:hAnsiTheme="majorBidi" w:cstheme="majorBidi"/>
                <w:color w:val="auto"/>
                <w:sz w:val="24"/>
                <w:szCs w:val="24"/>
              </w:rPr>
              <w:t>0</w:t>
            </w:r>
          </w:p>
        </w:tc>
        <w:tc>
          <w:tcPr>
            <w:tcW w:w="1058"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63</w:t>
            </w:r>
            <w:r>
              <w:rPr>
                <w:rFonts w:asciiTheme="majorBidi" w:hAnsiTheme="majorBidi" w:cstheme="majorBidi"/>
                <w:color w:val="auto"/>
                <w:sz w:val="24"/>
                <w:szCs w:val="24"/>
              </w:rPr>
              <w:t>.</w:t>
            </w:r>
            <w:r w:rsidRPr="00544503">
              <w:rPr>
                <w:rFonts w:asciiTheme="majorBidi" w:hAnsiTheme="majorBidi" w:cstheme="majorBidi"/>
                <w:color w:val="auto"/>
                <w:sz w:val="24"/>
                <w:szCs w:val="24"/>
              </w:rPr>
              <w:t>1</w:t>
            </w:r>
          </w:p>
        </w:tc>
        <w:tc>
          <w:tcPr>
            <w:tcW w:w="920"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81</w:t>
            </w:r>
            <w:r>
              <w:rPr>
                <w:rFonts w:asciiTheme="majorBidi" w:hAnsiTheme="majorBidi" w:cstheme="majorBidi"/>
                <w:color w:val="auto"/>
                <w:sz w:val="24"/>
                <w:szCs w:val="24"/>
              </w:rPr>
              <w:t>.</w:t>
            </w:r>
            <w:r w:rsidRPr="00544503">
              <w:rPr>
                <w:rFonts w:asciiTheme="majorBidi" w:hAnsiTheme="majorBidi" w:cstheme="majorBidi"/>
                <w:color w:val="auto"/>
                <w:sz w:val="24"/>
                <w:szCs w:val="24"/>
              </w:rPr>
              <w:t>4</w:t>
            </w:r>
          </w:p>
        </w:tc>
        <w:tc>
          <w:tcPr>
            <w:tcW w:w="992" w:type="dxa"/>
            <w:vAlign w:val="bottom"/>
          </w:tcPr>
          <w:p w:rsidR="00544503" w:rsidRPr="00544503" w:rsidRDefault="00544503" w:rsidP="00544503">
            <w:pPr>
              <w:jc w:val="center"/>
              <w:cnfStyle w:val="000000100000"/>
              <w:rPr>
                <w:rFonts w:asciiTheme="majorBidi" w:hAnsiTheme="majorBidi" w:cstheme="majorBidi"/>
                <w:color w:val="auto"/>
                <w:sz w:val="24"/>
                <w:szCs w:val="24"/>
              </w:rPr>
            </w:pPr>
            <w:r w:rsidRPr="00544503">
              <w:rPr>
                <w:rFonts w:asciiTheme="majorBidi" w:hAnsiTheme="majorBidi" w:cstheme="majorBidi"/>
                <w:color w:val="auto"/>
                <w:sz w:val="24"/>
                <w:szCs w:val="24"/>
              </w:rPr>
              <w:t>81</w:t>
            </w:r>
            <w:r>
              <w:rPr>
                <w:rFonts w:asciiTheme="majorBidi" w:hAnsiTheme="majorBidi" w:cstheme="majorBidi"/>
                <w:color w:val="auto"/>
                <w:sz w:val="24"/>
                <w:szCs w:val="24"/>
              </w:rPr>
              <w:t>.</w:t>
            </w:r>
            <w:r w:rsidRPr="00544503">
              <w:rPr>
                <w:rFonts w:asciiTheme="majorBidi" w:hAnsiTheme="majorBidi" w:cstheme="majorBidi"/>
                <w:color w:val="auto"/>
                <w:sz w:val="24"/>
                <w:szCs w:val="24"/>
              </w:rPr>
              <w:t>3</w:t>
            </w:r>
          </w:p>
        </w:tc>
      </w:tr>
    </w:tbl>
    <w:p w:rsidR="00544503" w:rsidRPr="00DC206E" w:rsidRDefault="00544503" w:rsidP="00544503">
      <w:pPr>
        <w:ind w:firstLine="708"/>
        <w:rPr>
          <w:rFonts w:asciiTheme="majorBidi" w:hAnsiTheme="majorBidi" w:cstheme="majorBidi"/>
          <w:sz w:val="24"/>
          <w:szCs w:val="24"/>
        </w:rPr>
      </w:pPr>
      <w:r w:rsidRPr="0039019E">
        <w:rPr>
          <w:rFonts w:asciiTheme="majorBidi" w:hAnsiTheme="majorBidi" w:cstheme="majorBidi"/>
        </w:rPr>
        <w:t>Source : Traitements effectués par les auteurs à partir des données de l’ENPA 2006, HCP.</w:t>
      </w:r>
    </w:p>
    <w:p w:rsidR="00A3515A" w:rsidRDefault="00A3515A" w:rsidP="00A3515A">
      <w:pPr>
        <w:autoSpaceDE w:val="0"/>
        <w:autoSpaceDN w:val="0"/>
        <w:adjustRightInd w:val="0"/>
        <w:spacing w:before="100" w:beforeAutospacing="1" w:after="100" w:afterAutospacing="1" w:line="360" w:lineRule="auto"/>
        <w:jc w:val="both"/>
        <w:rPr>
          <w:rFonts w:asciiTheme="majorBidi" w:hAnsiTheme="majorBidi" w:cstheme="majorBidi"/>
          <w:b/>
          <w:bCs/>
          <w:sz w:val="24"/>
          <w:szCs w:val="24"/>
        </w:rPr>
      </w:pPr>
    </w:p>
    <w:p w:rsidR="00A3515A" w:rsidRDefault="00A3515A" w:rsidP="00A3515A">
      <w:pPr>
        <w:autoSpaceDE w:val="0"/>
        <w:autoSpaceDN w:val="0"/>
        <w:adjustRightInd w:val="0"/>
        <w:spacing w:before="100" w:beforeAutospacing="1" w:after="100" w:afterAutospacing="1" w:line="360" w:lineRule="auto"/>
        <w:jc w:val="both"/>
        <w:rPr>
          <w:rFonts w:asciiTheme="majorBidi" w:hAnsiTheme="majorBidi" w:cstheme="majorBidi"/>
          <w:b/>
          <w:bCs/>
          <w:sz w:val="24"/>
          <w:szCs w:val="24"/>
        </w:rPr>
      </w:pPr>
    </w:p>
    <w:p w:rsidR="00C11909" w:rsidRDefault="00C11909" w:rsidP="00A3515A">
      <w:pPr>
        <w:autoSpaceDE w:val="0"/>
        <w:autoSpaceDN w:val="0"/>
        <w:adjustRightInd w:val="0"/>
        <w:spacing w:before="100" w:beforeAutospacing="1" w:after="100" w:afterAutospacing="1" w:line="360" w:lineRule="auto"/>
        <w:jc w:val="both"/>
        <w:rPr>
          <w:rFonts w:asciiTheme="majorBidi" w:hAnsiTheme="majorBidi" w:cstheme="majorBidi"/>
          <w:b/>
          <w:bCs/>
          <w:sz w:val="24"/>
          <w:szCs w:val="24"/>
        </w:rPr>
      </w:pPr>
    </w:p>
    <w:p w:rsidR="00C11909"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E97AC1">
        <w:rPr>
          <w:rFonts w:asciiTheme="majorBidi" w:hAnsiTheme="majorBidi" w:cstheme="majorBidi"/>
          <w:sz w:val="24"/>
          <w:szCs w:val="24"/>
        </w:rPr>
        <w:lastRenderedPageBreak/>
        <w:t xml:space="preserve">Les résultats consignés dans le tableau </w:t>
      </w:r>
      <w:r>
        <w:rPr>
          <w:rFonts w:asciiTheme="majorBidi" w:hAnsiTheme="majorBidi" w:cstheme="majorBidi"/>
          <w:sz w:val="24"/>
          <w:szCs w:val="24"/>
        </w:rPr>
        <w:t xml:space="preserve">17 </w:t>
      </w:r>
      <w:r w:rsidRPr="00E97AC1">
        <w:rPr>
          <w:rFonts w:asciiTheme="majorBidi" w:hAnsiTheme="majorBidi" w:cstheme="majorBidi"/>
          <w:sz w:val="24"/>
          <w:szCs w:val="24"/>
        </w:rPr>
        <w:t>ci-dessous montrent que les personnes âgées inactives sont plus nombreuses à avoir bénéficié des aides matérielles (78.0%) que ce soit de la part de leurs enfants (70.9%), de</w:t>
      </w:r>
      <w:r>
        <w:rPr>
          <w:rFonts w:asciiTheme="majorBidi" w:hAnsiTheme="majorBidi" w:cstheme="majorBidi"/>
          <w:sz w:val="24"/>
          <w:szCs w:val="24"/>
        </w:rPr>
        <w:t>s</w:t>
      </w:r>
      <w:r w:rsidRPr="00E97AC1">
        <w:rPr>
          <w:rFonts w:asciiTheme="majorBidi" w:hAnsiTheme="majorBidi" w:cstheme="majorBidi"/>
          <w:sz w:val="24"/>
          <w:szCs w:val="24"/>
        </w:rPr>
        <w:t xml:space="preserve"> membres de leurs ménages (27.5%) ou des autres membres de la famille élargie (19.7%).</w:t>
      </w:r>
      <w:r>
        <w:rPr>
          <w:rFonts w:asciiTheme="majorBidi" w:hAnsiTheme="majorBidi" w:cstheme="majorBidi"/>
          <w:sz w:val="24"/>
          <w:szCs w:val="24"/>
        </w:rPr>
        <w:t xml:space="preserve"> Par ailleurs, la proportion des bénéficiaires des aides matérielles parmi les personnes âgées qui ont décidé de prolonger leur activité économique est moins élevée et se situe à 62.3%.</w:t>
      </w:r>
    </w:p>
    <w:p w:rsidR="00C11909" w:rsidRPr="00E97AC1"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On peut supposer ici que la perception d’une aide matérielle peut pousser les personnes âgées à se retirer de la vie active dans la mesure où elle vient remplacer partiellement (ou complètement) leur revenu initial.Ou encore, les personnes âgées actives, de par leur revenu stable, ont moins besoin de revenus supplémentaires sous formes d’aides matérielles.</w:t>
      </w:r>
    </w:p>
    <w:p w:rsidR="00C11909" w:rsidRPr="008455C0" w:rsidRDefault="00C11909" w:rsidP="00C11909">
      <w:pPr>
        <w:pStyle w:val="Sous-titre"/>
        <w:numPr>
          <w:ilvl w:val="0"/>
          <w:numId w:val="0"/>
        </w:numPr>
        <w:spacing w:before="100" w:beforeAutospacing="1" w:after="0"/>
        <w:jc w:val="center"/>
        <w:rPr>
          <w:rFonts w:asciiTheme="majorBidi" w:hAnsiTheme="majorBidi" w:cstheme="majorBidi"/>
          <w:b/>
          <w:bCs/>
          <w:i/>
          <w:iCs/>
          <w:color w:val="auto"/>
          <w:sz w:val="24"/>
          <w:szCs w:val="24"/>
        </w:rPr>
      </w:pPr>
      <w:r>
        <w:rPr>
          <w:rStyle w:val="Emphaseple"/>
          <w:rFonts w:asciiTheme="majorBidi" w:hAnsiTheme="majorBidi" w:cstheme="majorBidi"/>
          <w:b/>
          <w:bCs/>
          <w:color w:val="auto"/>
          <w:sz w:val="24"/>
          <w:szCs w:val="24"/>
        </w:rPr>
        <w:t xml:space="preserve">Tableau 17 : </w:t>
      </w:r>
      <w:r w:rsidRPr="0041757E">
        <w:rPr>
          <w:rStyle w:val="Emphaseple"/>
          <w:rFonts w:asciiTheme="majorBidi" w:hAnsiTheme="majorBidi" w:cstheme="majorBidi"/>
          <w:b/>
          <w:bCs/>
          <w:color w:val="auto"/>
          <w:sz w:val="24"/>
          <w:szCs w:val="24"/>
        </w:rPr>
        <w:t>Proportion des bénéficiaires d’aides</w:t>
      </w:r>
      <w:r>
        <w:rPr>
          <w:rStyle w:val="Emphaseple"/>
          <w:rFonts w:asciiTheme="majorBidi" w:hAnsiTheme="majorBidi" w:cstheme="majorBidi"/>
          <w:b/>
          <w:bCs/>
          <w:color w:val="auto"/>
          <w:sz w:val="24"/>
          <w:szCs w:val="24"/>
        </w:rPr>
        <w:t xml:space="preserve"> matérielles</w:t>
      </w:r>
      <w:r w:rsidRPr="0041757E">
        <w:rPr>
          <w:rStyle w:val="Emphaseple"/>
          <w:rFonts w:asciiTheme="majorBidi" w:hAnsiTheme="majorBidi" w:cstheme="majorBidi"/>
          <w:b/>
          <w:bCs/>
          <w:color w:val="auto"/>
          <w:sz w:val="24"/>
          <w:szCs w:val="24"/>
        </w:rPr>
        <w:t xml:space="preserve"> selon le type d’activité</w:t>
      </w:r>
    </w:p>
    <w:tbl>
      <w:tblPr>
        <w:tblStyle w:val="ListTable6Colorful-Accent31"/>
        <w:tblW w:w="9491" w:type="dxa"/>
        <w:tblLayout w:type="fixed"/>
        <w:tblLook w:val="04A0"/>
      </w:tblPr>
      <w:tblGrid>
        <w:gridCol w:w="1390"/>
        <w:gridCol w:w="1709"/>
        <w:gridCol w:w="2564"/>
        <w:gridCol w:w="2420"/>
        <w:gridCol w:w="1408"/>
      </w:tblGrid>
      <w:tr w:rsidR="00C11909" w:rsidRPr="0039019E" w:rsidTr="00953710">
        <w:trPr>
          <w:cnfStyle w:val="100000000000"/>
          <w:trHeight w:val="621"/>
        </w:trPr>
        <w:tc>
          <w:tcPr>
            <w:cnfStyle w:val="001000000000"/>
            <w:tcW w:w="1390" w:type="dxa"/>
            <w:vMerge w:val="restart"/>
          </w:tcPr>
          <w:p w:rsidR="00C11909" w:rsidRPr="0039019E" w:rsidRDefault="00C11909" w:rsidP="00953710">
            <w:pPr>
              <w:jc w:val="center"/>
              <w:rPr>
                <w:rFonts w:asciiTheme="majorBidi" w:hAnsiTheme="majorBidi" w:cstheme="majorBidi"/>
                <w:bCs w:val="0"/>
                <w:color w:val="auto"/>
                <w:sz w:val="24"/>
                <w:szCs w:val="24"/>
              </w:rPr>
            </w:pPr>
          </w:p>
          <w:p w:rsidR="00C11909" w:rsidRPr="0039019E" w:rsidRDefault="00C11909" w:rsidP="00953710">
            <w:pPr>
              <w:jc w:val="center"/>
              <w:rPr>
                <w:rFonts w:asciiTheme="majorBidi" w:hAnsiTheme="majorBidi" w:cstheme="majorBidi"/>
                <w:bCs w:val="0"/>
                <w:color w:val="auto"/>
                <w:sz w:val="24"/>
                <w:szCs w:val="24"/>
              </w:rPr>
            </w:pPr>
            <w:r>
              <w:rPr>
                <w:rFonts w:asciiTheme="majorBidi" w:hAnsiTheme="majorBidi" w:cstheme="majorBidi"/>
                <w:bCs w:val="0"/>
                <w:color w:val="auto"/>
                <w:sz w:val="24"/>
                <w:szCs w:val="24"/>
              </w:rPr>
              <w:t>Type d’activité</w:t>
            </w:r>
          </w:p>
        </w:tc>
        <w:tc>
          <w:tcPr>
            <w:tcW w:w="8101" w:type="dxa"/>
            <w:gridSpan w:val="4"/>
          </w:tcPr>
          <w:p w:rsidR="00C11909" w:rsidRPr="0039019E" w:rsidRDefault="00C11909" w:rsidP="00953710">
            <w:pPr>
              <w:jc w:val="center"/>
              <w:cnfStyle w:val="100000000000"/>
              <w:rPr>
                <w:rFonts w:asciiTheme="majorBidi" w:hAnsiTheme="majorBidi" w:cstheme="majorBidi"/>
                <w:color w:val="auto"/>
                <w:sz w:val="24"/>
                <w:szCs w:val="24"/>
              </w:rPr>
            </w:pPr>
            <w:r>
              <w:rPr>
                <w:rFonts w:asciiTheme="majorBidi" w:hAnsiTheme="majorBidi" w:cstheme="majorBidi"/>
                <w:color w:val="auto"/>
                <w:sz w:val="24"/>
                <w:szCs w:val="24"/>
              </w:rPr>
              <w:t>Aides matérielles accordées par :</w:t>
            </w:r>
          </w:p>
        </w:tc>
      </w:tr>
      <w:tr w:rsidR="00C11909" w:rsidRPr="0039019E" w:rsidTr="00953710">
        <w:trPr>
          <w:cnfStyle w:val="000000100000"/>
          <w:trHeight w:val="315"/>
        </w:trPr>
        <w:tc>
          <w:tcPr>
            <w:cnfStyle w:val="001000000000"/>
            <w:tcW w:w="1390" w:type="dxa"/>
            <w:vMerge/>
          </w:tcPr>
          <w:p w:rsidR="00C11909" w:rsidRPr="0039019E" w:rsidRDefault="00C11909" w:rsidP="00953710">
            <w:pPr>
              <w:rPr>
                <w:rFonts w:asciiTheme="majorBidi" w:hAnsiTheme="majorBidi" w:cstheme="majorBidi"/>
                <w:bCs w:val="0"/>
                <w:color w:val="auto"/>
                <w:sz w:val="24"/>
                <w:szCs w:val="24"/>
              </w:rPr>
            </w:pPr>
          </w:p>
        </w:tc>
        <w:tc>
          <w:tcPr>
            <w:tcW w:w="1709"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Enfants</w:t>
            </w:r>
          </w:p>
        </w:tc>
        <w:tc>
          <w:tcPr>
            <w:tcW w:w="2564"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Membre du ménage</w:t>
            </w:r>
          </w:p>
        </w:tc>
        <w:tc>
          <w:tcPr>
            <w:tcW w:w="2420"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Membre de la famille</w:t>
            </w:r>
          </w:p>
        </w:tc>
        <w:tc>
          <w:tcPr>
            <w:tcW w:w="1408"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Ensemble</w:t>
            </w:r>
          </w:p>
        </w:tc>
      </w:tr>
      <w:tr w:rsidR="00C11909" w:rsidRPr="0039019E" w:rsidTr="00953710">
        <w:trPr>
          <w:trHeight w:val="286"/>
        </w:trPr>
        <w:tc>
          <w:tcPr>
            <w:cnfStyle w:val="001000000000"/>
            <w:tcW w:w="1390" w:type="dxa"/>
          </w:tcPr>
          <w:p w:rsidR="00C11909" w:rsidRPr="0039019E" w:rsidRDefault="00C11909" w:rsidP="00953710">
            <w:pPr>
              <w:rPr>
                <w:rFonts w:asciiTheme="majorBidi" w:hAnsiTheme="majorBidi" w:cstheme="majorBidi"/>
                <w:bCs w:val="0"/>
                <w:color w:val="auto"/>
                <w:sz w:val="24"/>
                <w:szCs w:val="24"/>
              </w:rPr>
            </w:pPr>
            <w:r>
              <w:rPr>
                <w:rFonts w:asciiTheme="majorBidi" w:hAnsiTheme="majorBidi" w:cstheme="majorBidi"/>
                <w:bCs w:val="0"/>
                <w:color w:val="auto"/>
                <w:sz w:val="24"/>
                <w:szCs w:val="24"/>
              </w:rPr>
              <w:t>Actif</w:t>
            </w:r>
          </w:p>
        </w:tc>
        <w:tc>
          <w:tcPr>
            <w:tcW w:w="1709"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58.1</w:t>
            </w:r>
          </w:p>
        </w:tc>
        <w:tc>
          <w:tcPr>
            <w:tcW w:w="2564"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17.2</w:t>
            </w:r>
          </w:p>
        </w:tc>
        <w:tc>
          <w:tcPr>
            <w:tcW w:w="2420"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10.3</w:t>
            </w:r>
          </w:p>
        </w:tc>
        <w:tc>
          <w:tcPr>
            <w:tcW w:w="1408"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62.3</w:t>
            </w:r>
          </w:p>
        </w:tc>
      </w:tr>
      <w:tr w:rsidR="00C11909" w:rsidRPr="0039019E" w:rsidTr="00953710">
        <w:trPr>
          <w:cnfStyle w:val="000000100000"/>
          <w:trHeight w:val="290"/>
        </w:trPr>
        <w:tc>
          <w:tcPr>
            <w:cnfStyle w:val="001000000000"/>
            <w:tcW w:w="1390" w:type="dxa"/>
          </w:tcPr>
          <w:p w:rsidR="00C11909" w:rsidRPr="0039019E" w:rsidRDefault="00C11909" w:rsidP="00953710">
            <w:pPr>
              <w:rPr>
                <w:rFonts w:asciiTheme="majorBidi" w:hAnsiTheme="majorBidi" w:cstheme="majorBidi"/>
                <w:bCs w:val="0"/>
                <w:color w:val="auto"/>
                <w:sz w:val="24"/>
                <w:szCs w:val="24"/>
              </w:rPr>
            </w:pPr>
            <w:r>
              <w:rPr>
                <w:rFonts w:asciiTheme="majorBidi" w:hAnsiTheme="majorBidi" w:cstheme="majorBidi"/>
                <w:bCs w:val="0"/>
                <w:color w:val="auto"/>
                <w:sz w:val="24"/>
                <w:szCs w:val="24"/>
              </w:rPr>
              <w:t>Inactif</w:t>
            </w:r>
          </w:p>
        </w:tc>
        <w:tc>
          <w:tcPr>
            <w:tcW w:w="1709"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70.9</w:t>
            </w:r>
          </w:p>
        </w:tc>
        <w:tc>
          <w:tcPr>
            <w:tcW w:w="2564"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27.5</w:t>
            </w:r>
          </w:p>
        </w:tc>
        <w:tc>
          <w:tcPr>
            <w:tcW w:w="2420"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19.7</w:t>
            </w:r>
          </w:p>
        </w:tc>
        <w:tc>
          <w:tcPr>
            <w:tcW w:w="1408"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78.0</w:t>
            </w:r>
          </w:p>
        </w:tc>
      </w:tr>
      <w:tr w:rsidR="00C11909" w:rsidRPr="0039019E" w:rsidTr="00953710">
        <w:trPr>
          <w:trHeight w:val="266"/>
        </w:trPr>
        <w:tc>
          <w:tcPr>
            <w:cnfStyle w:val="001000000000"/>
            <w:tcW w:w="1390" w:type="dxa"/>
          </w:tcPr>
          <w:p w:rsidR="00C11909" w:rsidRPr="0039019E" w:rsidRDefault="00C11909" w:rsidP="00953710">
            <w:pPr>
              <w:rPr>
                <w:rFonts w:asciiTheme="majorBidi" w:hAnsiTheme="majorBidi" w:cstheme="majorBidi"/>
                <w:bCs w:val="0"/>
                <w:color w:val="auto"/>
                <w:sz w:val="24"/>
                <w:szCs w:val="24"/>
              </w:rPr>
            </w:pPr>
            <w:r>
              <w:rPr>
                <w:rFonts w:asciiTheme="majorBidi" w:hAnsiTheme="majorBidi" w:cstheme="majorBidi"/>
                <w:bCs w:val="0"/>
                <w:color w:val="auto"/>
                <w:sz w:val="24"/>
                <w:szCs w:val="24"/>
              </w:rPr>
              <w:t>Total</w:t>
            </w:r>
          </w:p>
        </w:tc>
        <w:tc>
          <w:tcPr>
            <w:tcW w:w="1709"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68.4</w:t>
            </w:r>
          </w:p>
        </w:tc>
        <w:tc>
          <w:tcPr>
            <w:tcW w:w="2564"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25.5</w:t>
            </w:r>
          </w:p>
        </w:tc>
        <w:tc>
          <w:tcPr>
            <w:tcW w:w="2420"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17.9</w:t>
            </w:r>
          </w:p>
        </w:tc>
        <w:tc>
          <w:tcPr>
            <w:tcW w:w="1408"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75.0</w:t>
            </w:r>
          </w:p>
        </w:tc>
      </w:tr>
    </w:tbl>
    <w:p w:rsidR="00C11909" w:rsidRPr="00DC206E" w:rsidRDefault="00C11909" w:rsidP="00C11909">
      <w:pPr>
        <w:ind w:firstLine="708"/>
        <w:rPr>
          <w:rFonts w:asciiTheme="majorBidi" w:hAnsiTheme="majorBidi" w:cstheme="majorBidi"/>
          <w:sz w:val="24"/>
          <w:szCs w:val="24"/>
        </w:rPr>
      </w:pPr>
      <w:r w:rsidRPr="0039019E">
        <w:rPr>
          <w:rFonts w:asciiTheme="majorBidi" w:hAnsiTheme="majorBidi" w:cstheme="majorBidi"/>
        </w:rPr>
        <w:t>Source : Traitements effectués par les auteurs à partir des données de l’ENPA 2006, HCP.</w:t>
      </w:r>
    </w:p>
    <w:p w:rsidR="00C11909" w:rsidRDefault="00C11909" w:rsidP="00C11909"/>
    <w:p w:rsidR="00C11909"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sidRPr="00D646DD">
        <w:rPr>
          <w:rFonts w:asciiTheme="majorBidi" w:hAnsiTheme="majorBidi" w:cstheme="majorBidi"/>
          <w:sz w:val="24"/>
          <w:szCs w:val="24"/>
        </w:rPr>
        <w:t>La répartition des personnes âgées b</w:t>
      </w:r>
      <w:r>
        <w:rPr>
          <w:rFonts w:asciiTheme="majorBidi" w:hAnsiTheme="majorBidi" w:cstheme="majorBidi"/>
          <w:sz w:val="24"/>
          <w:szCs w:val="24"/>
        </w:rPr>
        <w:t xml:space="preserve">énéficiant des </w:t>
      </w:r>
      <w:r w:rsidRPr="00D646DD">
        <w:rPr>
          <w:rFonts w:asciiTheme="majorBidi" w:hAnsiTheme="majorBidi" w:cstheme="majorBidi"/>
          <w:sz w:val="24"/>
          <w:szCs w:val="24"/>
        </w:rPr>
        <w:t xml:space="preserve">aides matérielles selon la disposition d’une couverture sociale fait apparaître que </w:t>
      </w:r>
      <w:r>
        <w:rPr>
          <w:rFonts w:asciiTheme="majorBidi" w:hAnsiTheme="majorBidi" w:cstheme="majorBidi"/>
          <w:sz w:val="24"/>
          <w:szCs w:val="24"/>
        </w:rPr>
        <w:t>la part des non pensionnées bénéficiaires (78.4%) est plus élevée que celle des non pensionnées (57.1%).</w:t>
      </w:r>
    </w:p>
    <w:p w:rsidR="00C11909" w:rsidRPr="00D646DD"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Cette disparité peut s’expliquer par le fait qu’une personne âgée disposant d’une pension de retraite arrive à subvenir à ses besoins fondamentaux sans recourir à des aides matérielles de la part de sa famille.  </w:t>
      </w:r>
    </w:p>
    <w:p w:rsidR="00C11909" w:rsidRPr="008455C0" w:rsidRDefault="00C11909" w:rsidP="00C11909">
      <w:pPr>
        <w:pStyle w:val="Sous-titre"/>
        <w:numPr>
          <w:ilvl w:val="0"/>
          <w:numId w:val="0"/>
        </w:numPr>
        <w:spacing w:before="100" w:beforeAutospacing="1" w:after="0"/>
        <w:jc w:val="center"/>
        <w:rPr>
          <w:rFonts w:asciiTheme="majorBidi" w:hAnsiTheme="majorBidi" w:cstheme="majorBidi"/>
          <w:b/>
          <w:bCs/>
          <w:i/>
          <w:iCs/>
          <w:color w:val="auto"/>
          <w:sz w:val="24"/>
          <w:szCs w:val="24"/>
        </w:rPr>
      </w:pPr>
      <w:r>
        <w:rPr>
          <w:rStyle w:val="Emphaseple"/>
          <w:rFonts w:asciiTheme="majorBidi" w:hAnsiTheme="majorBidi" w:cstheme="majorBidi"/>
          <w:b/>
          <w:bCs/>
          <w:color w:val="auto"/>
          <w:sz w:val="24"/>
          <w:szCs w:val="24"/>
        </w:rPr>
        <w:t xml:space="preserve">Tableau18  : </w:t>
      </w:r>
      <w:r w:rsidRPr="0041757E">
        <w:rPr>
          <w:rStyle w:val="Emphaseple"/>
          <w:rFonts w:asciiTheme="majorBidi" w:hAnsiTheme="majorBidi" w:cstheme="majorBidi"/>
          <w:b/>
          <w:bCs/>
          <w:color w:val="auto"/>
          <w:sz w:val="24"/>
          <w:szCs w:val="24"/>
        </w:rPr>
        <w:t>Proportion des bénéficiaires d’aides</w:t>
      </w:r>
      <w:r>
        <w:rPr>
          <w:rStyle w:val="Emphaseple"/>
          <w:rFonts w:asciiTheme="majorBidi" w:hAnsiTheme="majorBidi" w:cstheme="majorBidi"/>
          <w:b/>
          <w:bCs/>
          <w:color w:val="auto"/>
          <w:sz w:val="24"/>
          <w:szCs w:val="24"/>
        </w:rPr>
        <w:t xml:space="preserve"> matérielles</w:t>
      </w:r>
      <w:r w:rsidRPr="0041757E">
        <w:rPr>
          <w:rStyle w:val="Emphaseple"/>
          <w:rFonts w:asciiTheme="majorBidi" w:hAnsiTheme="majorBidi" w:cstheme="majorBidi"/>
          <w:b/>
          <w:bCs/>
          <w:color w:val="auto"/>
          <w:sz w:val="24"/>
          <w:szCs w:val="24"/>
        </w:rPr>
        <w:t xml:space="preserve"> selon l</w:t>
      </w:r>
      <w:r>
        <w:rPr>
          <w:rStyle w:val="Emphaseple"/>
          <w:rFonts w:asciiTheme="majorBidi" w:hAnsiTheme="majorBidi" w:cstheme="majorBidi"/>
          <w:b/>
          <w:bCs/>
          <w:color w:val="auto"/>
          <w:sz w:val="24"/>
          <w:szCs w:val="24"/>
        </w:rPr>
        <w:t>a disposition d’une pension de retraite</w:t>
      </w:r>
    </w:p>
    <w:tbl>
      <w:tblPr>
        <w:tblStyle w:val="ListTable6Colorful-Accent31"/>
        <w:tblW w:w="9491" w:type="dxa"/>
        <w:tblLayout w:type="fixed"/>
        <w:tblLook w:val="04A0"/>
      </w:tblPr>
      <w:tblGrid>
        <w:gridCol w:w="1809"/>
        <w:gridCol w:w="1418"/>
        <w:gridCol w:w="2436"/>
        <w:gridCol w:w="2420"/>
        <w:gridCol w:w="1408"/>
      </w:tblGrid>
      <w:tr w:rsidR="00C11909" w:rsidRPr="0039019E" w:rsidTr="00953710">
        <w:trPr>
          <w:cnfStyle w:val="100000000000"/>
          <w:trHeight w:val="621"/>
        </w:trPr>
        <w:tc>
          <w:tcPr>
            <w:cnfStyle w:val="001000000000"/>
            <w:tcW w:w="1809" w:type="dxa"/>
            <w:vMerge w:val="restart"/>
          </w:tcPr>
          <w:p w:rsidR="00C11909" w:rsidRPr="0039019E" w:rsidRDefault="00C11909" w:rsidP="00953710">
            <w:pPr>
              <w:jc w:val="center"/>
              <w:rPr>
                <w:rFonts w:asciiTheme="majorBidi" w:hAnsiTheme="majorBidi" w:cstheme="majorBidi"/>
                <w:bCs w:val="0"/>
                <w:color w:val="auto"/>
                <w:sz w:val="24"/>
                <w:szCs w:val="24"/>
              </w:rPr>
            </w:pPr>
          </w:p>
          <w:p w:rsidR="00C11909" w:rsidRPr="0039019E" w:rsidRDefault="00C11909" w:rsidP="00953710">
            <w:pPr>
              <w:jc w:val="center"/>
              <w:rPr>
                <w:rFonts w:asciiTheme="majorBidi" w:hAnsiTheme="majorBidi" w:cstheme="majorBidi"/>
                <w:bCs w:val="0"/>
                <w:color w:val="auto"/>
                <w:sz w:val="24"/>
                <w:szCs w:val="24"/>
              </w:rPr>
            </w:pPr>
            <w:r>
              <w:rPr>
                <w:rFonts w:asciiTheme="majorBidi" w:hAnsiTheme="majorBidi" w:cstheme="majorBidi"/>
                <w:bCs w:val="0"/>
                <w:color w:val="auto"/>
                <w:sz w:val="24"/>
                <w:szCs w:val="24"/>
              </w:rPr>
              <w:t>Pension de retraite</w:t>
            </w:r>
          </w:p>
        </w:tc>
        <w:tc>
          <w:tcPr>
            <w:tcW w:w="7682" w:type="dxa"/>
            <w:gridSpan w:val="4"/>
          </w:tcPr>
          <w:p w:rsidR="00C11909" w:rsidRPr="0039019E" w:rsidRDefault="00C11909" w:rsidP="00953710">
            <w:pPr>
              <w:jc w:val="center"/>
              <w:cnfStyle w:val="100000000000"/>
              <w:rPr>
                <w:rFonts w:asciiTheme="majorBidi" w:hAnsiTheme="majorBidi" w:cstheme="majorBidi"/>
                <w:color w:val="auto"/>
                <w:sz w:val="24"/>
                <w:szCs w:val="24"/>
              </w:rPr>
            </w:pPr>
            <w:r>
              <w:rPr>
                <w:rFonts w:asciiTheme="majorBidi" w:hAnsiTheme="majorBidi" w:cstheme="majorBidi"/>
                <w:color w:val="auto"/>
                <w:sz w:val="24"/>
                <w:szCs w:val="24"/>
              </w:rPr>
              <w:t>Aides matérielles accordées par :</w:t>
            </w:r>
          </w:p>
        </w:tc>
      </w:tr>
      <w:tr w:rsidR="00C11909" w:rsidRPr="0039019E" w:rsidTr="00953710">
        <w:trPr>
          <w:cnfStyle w:val="000000100000"/>
          <w:trHeight w:val="315"/>
        </w:trPr>
        <w:tc>
          <w:tcPr>
            <w:cnfStyle w:val="001000000000"/>
            <w:tcW w:w="1809" w:type="dxa"/>
            <w:vMerge/>
          </w:tcPr>
          <w:p w:rsidR="00C11909" w:rsidRPr="0039019E" w:rsidRDefault="00C11909" w:rsidP="00953710">
            <w:pPr>
              <w:rPr>
                <w:rFonts w:asciiTheme="majorBidi" w:hAnsiTheme="majorBidi" w:cstheme="majorBidi"/>
                <w:bCs w:val="0"/>
                <w:color w:val="auto"/>
                <w:sz w:val="24"/>
                <w:szCs w:val="24"/>
              </w:rPr>
            </w:pPr>
          </w:p>
        </w:tc>
        <w:tc>
          <w:tcPr>
            <w:tcW w:w="1418"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Enfants</w:t>
            </w:r>
          </w:p>
        </w:tc>
        <w:tc>
          <w:tcPr>
            <w:tcW w:w="2436"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Membre du ménage</w:t>
            </w:r>
          </w:p>
        </w:tc>
        <w:tc>
          <w:tcPr>
            <w:tcW w:w="2420"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Membre de la famille</w:t>
            </w:r>
          </w:p>
        </w:tc>
        <w:tc>
          <w:tcPr>
            <w:tcW w:w="1408" w:type="dxa"/>
          </w:tcPr>
          <w:p w:rsidR="00C11909" w:rsidRPr="0039019E" w:rsidRDefault="00C11909" w:rsidP="00953710">
            <w:pPr>
              <w:jc w:val="center"/>
              <w:cnfStyle w:val="000000100000"/>
              <w:rPr>
                <w:rFonts w:asciiTheme="majorBidi" w:hAnsiTheme="majorBidi" w:cstheme="majorBidi"/>
                <w:b/>
                <w:color w:val="auto"/>
                <w:sz w:val="24"/>
                <w:szCs w:val="24"/>
              </w:rPr>
            </w:pPr>
            <w:r>
              <w:rPr>
                <w:rFonts w:asciiTheme="majorBidi" w:hAnsiTheme="majorBidi" w:cstheme="majorBidi"/>
                <w:b/>
                <w:color w:val="auto"/>
                <w:sz w:val="24"/>
                <w:szCs w:val="24"/>
              </w:rPr>
              <w:t>Ensemble</w:t>
            </w:r>
          </w:p>
        </w:tc>
      </w:tr>
      <w:tr w:rsidR="00C11909" w:rsidRPr="0039019E" w:rsidTr="00953710">
        <w:trPr>
          <w:trHeight w:val="286"/>
        </w:trPr>
        <w:tc>
          <w:tcPr>
            <w:cnfStyle w:val="001000000000"/>
            <w:tcW w:w="1809" w:type="dxa"/>
          </w:tcPr>
          <w:p w:rsidR="00C11909" w:rsidRPr="0039019E" w:rsidRDefault="00C11909" w:rsidP="00953710">
            <w:pPr>
              <w:rPr>
                <w:rFonts w:asciiTheme="majorBidi" w:hAnsiTheme="majorBidi" w:cstheme="majorBidi"/>
                <w:bCs w:val="0"/>
                <w:color w:val="auto"/>
                <w:sz w:val="24"/>
                <w:szCs w:val="24"/>
              </w:rPr>
            </w:pPr>
            <w:r>
              <w:rPr>
                <w:rFonts w:asciiTheme="majorBidi" w:hAnsiTheme="majorBidi" w:cstheme="majorBidi"/>
                <w:bCs w:val="0"/>
                <w:color w:val="auto"/>
                <w:sz w:val="24"/>
                <w:szCs w:val="24"/>
              </w:rPr>
              <w:t>Pensionné</w:t>
            </w:r>
          </w:p>
        </w:tc>
        <w:tc>
          <w:tcPr>
            <w:tcW w:w="1418"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49.7</w:t>
            </w:r>
          </w:p>
        </w:tc>
        <w:tc>
          <w:tcPr>
            <w:tcW w:w="2436"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19.7</w:t>
            </w:r>
          </w:p>
        </w:tc>
        <w:tc>
          <w:tcPr>
            <w:tcW w:w="2420"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12.4</w:t>
            </w:r>
          </w:p>
        </w:tc>
        <w:tc>
          <w:tcPr>
            <w:tcW w:w="1408"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57.1</w:t>
            </w:r>
          </w:p>
        </w:tc>
      </w:tr>
      <w:tr w:rsidR="00C11909" w:rsidRPr="0039019E" w:rsidTr="00953710">
        <w:trPr>
          <w:cnfStyle w:val="000000100000"/>
          <w:trHeight w:val="290"/>
        </w:trPr>
        <w:tc>
          <w:tcPr>
            <w:cnfStyle w:val="001000000000"/>
            <w:tcW w:w="1809" w:type="dxa"/>
          </w:tcPr>
          <w:p w:rsidR="00C11909" w:rsidRPr="0039019E" w:rsidRDefault="00C11909" w:rsidP="00953710">
            <w:pPr>
              <w:rPr>
                <w:rFonts w:asciiTheme="majorBidi" w:hAnsiTheme="majorBidi" w:cstheme="majorBidi"/>
                <w:bCs w:val="0"/>
                <w:color w:val="auto"/>
                <w:sz w:val="24"/>
                <w:szCs w:val="24"/>
              </w:rPr>
            </w:pPr>
            <w:r>
              <w:rPr>
                <w:rFonts w:asciiTheme="majorBidi" w:hAnsiTheme="majorBidi" w:cstheme="majorBidi"/>
                <w:bCs w:val="0"/>
                <w:color w:val="auto"/>
                <w:sz w:val="24"/>
                <w:szCs w:val="24"/>
              </w:rPr>
              <w:t>Non pensionné</w:t>
            </w:r>
          </w:p>
        </w:tc>
        <w:tc>
          <w:tcPr>
            <w:tcW w:w="1418"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72.0</w:t>
            </w:r>
          </w:p>
        </w:tc>
        <w:tc>
          <w:tcPr>
            <w:tcW w:w="2436"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26.6</w:t>
            </w:r>
          </w:p>
        </w:tc>
        <w:tc>
          <w:tcPr>
            <w:tcW w:w="2420"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18.9</w:t>
            </w:r>
          </w:p>
        </w:tc>
        <w:tc>
          <w:tcPr>
            <w:tcW w:w="1408" w:type="dxa"/>
          </w:tcPr>
          <w:p w:rsidR="00C11909" w:rsidRPr="0039019E" w:rsidRDefault="00C11909" w:rsidP="00953710">
            <w:pPr>
              <w:jc w:val="center"/>
              <w:cnfStyle w:val="000000100000"/>
              <w:rPr>
                <w:rFonts w:asciiTheme="majorBidi" w:hAnsiTheme="majorBidi" w:cstheme="majorBidi"/>
                <w:color w:val="auto"/>
                <w:sz w:val="24"/>
                <w:szCs w:val="24"/>
              </w:rPr>
            </w:pPr>
            <w:r>
              <w:rPr>
                <w:rFonts w:asciiTheme="majorBidi" w:hAnsiTheme="majorBidi" w:cstheme="majorBidi"/>
                <w:color w:val="auto"/>
                <w:sz w:val="24"/>
                <w:szCs w:val="24"/>
              </w:rPr>
              <w:t>78.4</w:t>
            </w:r>
          </w:p>
        </w:tc>
      </w:tr>
      <w:tr w:rsidR="00C11909" w:rsidRPr="0039019E" w:rsidTr="00953710">
        <w:trPr>
          <w:trHeight w:val="266"/>
        </w:trPr>
        <w:tc>
          <w:tcPr>
            <w:cnfStyle w:val="001000000000"/>
            <w:tcW w:w="1809" w:type="dxa"/>
          </w:tcPr>
          <w:p w:rsidR="00C11909" w:rsidRPr="0039019E" w:rsidRDefault="00C11909" w:rsidP="00953710">
            <w:pPr>
              <w:rPr>
                <w:rFonts w:asciiTheme="majorBidi" w:hAnsiTheme="majorBidi" w:cstheme="majorBidi"/>
                <w:bCs w:val="0"/>
                <w:color w:val="auto"/>
                <w:sz w:val="24"/>
                <w:szCs w:val="24"/>
              </w:rPr>
            </w:pPr>
            <w:r>
              <w:rPr>
                <w:rFonts w:asciiTheme="majorBidi" w:hAnsiTheme="majorBidi" w:cstheme="majorBidi"/>
                <w:bCs w:val="0"/>
                <w:color w:val="auto"/>
                <w:sz w:val="24"/>
                <w:szCs w:val="24"/>
              </w:rPr>
              <w:t>Total</w:t>
            </w:r>
          </w:p>
        </w:tc>
        <w:tc>
          <w:tcPr>
            <w:tcW w:w="1418"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68.4</w:t>
            </w:r>
          </w:p>
        </w:tc>
        <w:tc>
          <w:tcPr>
            <w:tcW w:w="2436"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25.5</w:t>
            </w:r>
          </w:p>
        </w:tc>
        <w:tc>
          <w:tcPr>
            <w:tcW w:w="2420"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17.9</w:t>
            </w:r>
          </w:p>
        </w:tc>
        <w:tc>
          <w:tcPr>
            <w:tcW w:w="1408" w:type="dxa"/>
          </w:tcPr>
          <w:p w:rsidR="00C11909" w:rsidRPr="0039019E" w:rsidRDefault="00C11909" w:rsidP="00953710">
            <w:pPr>
              <w:jc w:val="center"/>
              <w:cnfStyle w:val="000000000000"/>
              <w:rPr>
                <w:rFonts w:asciiTheme="majorBidi" w:hAnsiTheme="majorBidi" w:cstheme="majorBidi"/>
                <w:color w:val="auto"/>
                <w:sz w:val="24"/>
                <w:szCs w:val="24"/>
              </w:rPr>
            </w:pPr>
            <w:r>
              <w:rPr>
                <w:rFonts w:asciiTheme="majorBidi" w:hAnsiTheme="majorBidi" w:cstheme="majorBidi"/>
                <w:color w:val="auto"/>
                <w:sz w:val="24"/>
                <w:szCs w:val="24"/>
              </w:rPr>
              <w:t>75.0</w:t>
            </w:r>
          </w:p>
        </w:tc>
      </w:tr>
    </w:tbl>
    <w:p w:rsidR="00C11909" w:rsidRPr="00DC206E" w:rsidRDefault="00C11909" w:rsidP="00C11909">
      <w:pPr>
        <w:ind w:firstLine="708"/>
        <w:rPr>
          <w:rFonts w:asciiTheme="majorBidi" w:hAnsiTheme="majorBidi" w:cstheme="majorBidi"/>
          <w:sz w:val="24"/>
          <w:szCs w:val="24"/>
        </w:rPr>
      </w:pPr>
      <w:r w:rsidRPr="0039019E">
        <w:rPr>
          <w:rFonts w:asciiTheme="majorBidi" w:hAnsiTheme="majorBidi" w:cstheme="majorBidi"/>
        </w:rPr>
        <w:t>Source : Traitements effectués par les auteurs à partir des données de l’ENPA 2006, HCP.</w:t>
      </w:r>
    </w:p>
    <w:p w:rsidR="00C11909" w:rsidRPr="00A3515A"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b/>
          <w:bCs/>
          <w:sz w:val="24"/>
          <w:szCs w:val="24"/>
        </w:rPr>
      </w:pPr>
      <w:r>
        <w:rPr>
          <w:rFonts w:asciiTheme="majorBidi" w:hAnsiTheme="majorBidi" w:cstheme="majorBidi"/>
          <w:b/>
          <w:bCs/>
          <w:sz w:val="24"/>
          <w:szCs w:val="24"/>
        </w:rPr>
        <w:lastRenderedPageBreak/>
        <w:t xml:space="preserve">Quel </w:t>
      </w:r>
      <w:r w:rsidRPr="00A3515A">
        <w:rPr>
          <w:rFonts w:asciiTheme="majorBidi" w:hAnsiTheme="majorBidi" w:cstheme="majorBidi"/>
          <w:b/>
          <w:bCs/>
          <w:sz w:val="24"/>
          <w:szCs w:val="24"/>
        </w:rPr>
        <w:t>impact de l'aide matérielle aux personnes âgées sur l'amélioration de leurs conditions de vie</w:t>
      </w:r>
      <w:r>
        <w:rPr>
          <w:rFonts w:asciiTheme="majorBidi" w:hAnsiTheme="majorBidi" w:cstheme="majorBidi"/>
          <w:b/>
          <w:bCs/>
          <w:sz w:val="24"/>
          <w:szCs w:val="24"/>
        </w:rPr>
        <w:t xml:space="preserve"> ?</w:t>
      </w:r>
    </w:p>
    <w:p w:rsidR="00C11909"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Pour saisir l'impact de l'aide matérielle aux personnes âgées sur leurs conditions de vie, nous allons voir la situation des personnes âgées vis-à-vis de la pauvreté selon qu'elles bénéficient de la prise en charge de leurs familles sous forme matérielle ou pas. </w:t>
      </w:r>
    </w:p>
    <w:p w:rsidR="00C11909"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Etant donné que l'enquête n'a pas observé les dépenses de consommation pour pouvoir estimer la pauvreté monétaire des ménages dans lesquels vivent les personnes âgées, nous allons recourir aux indicateurs de la pauvreté multidimensionnelle des personnes âgées estimées à partir de ladite enquête</w:t>
      </w:r>
      <w:r>
        <w:rPr>
          <w:rStyle w:val="Appelnotedebasdep"/>
          <w:rFonts w:asciiTheme="majorBidi" w:hAnsiTheme="majorBidi" w:cstheme="majorBidi"/>
          <w:sz w:val="24"/>
          <w:szCs w:val="24"/>
        </w:rPr>
        <w:footnoteReference w:id="9"/>
      </w:r>
      <w:r>
        <w:rPr>
          <w:rFonts w:asciiTheme="majorBidi" w:hAnsiTheme="majorBidi" w:cstheme="majorBidi"/>
          <w:sz w:val="24"/>
          <w:szCs w:val="24"/>
        </w:rPr>
        <w:t>.</w:t>
      </w:r>
    </w:p>
    <w:p w:rsidR="00C11909"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Il ressort de la ventilation du taux de pauvreté des personnes âgée selon qu'elles reçoivent de l'aide matérielle de leurs enfants ou des membres de leurs familles ou pas, que la pauvreté est plus accentuée parmi les personnes âgées n'ayant bénéficié d'aucune aide que parmi celles qui en ont bénéficié. En effet, le taux de pauvreté des personnes âgées ayant bénéficié de l'aide matérielle de la part de l'un de ses proches (enfants, famille, etc.) est de 17.1% soit trois points de pourcentages de moins (20.1%) que celles n'ayant bénéficié d'aucune aide. Ces pourcentages sont respectivement de 16.8% et 20.2% pour l'aide matérielle provenant des enfants et de 15.3% et 18.8% pour l'aide provenant d'un membre de ménage.</w:t>
      </w:r>
    </w:p>
    <w:p w:rsidR="00C11909" w:rsidRPr="00814994" w:rsidRDefault="00C11909" w:rsidP="00C11909">
      <w:pPr>
        <w:autoSpaceDE w:val="0"/>
        <w:autoSpaceDN w:val="0"/>
        <w:adjustRightInd w:val="0"/>
        <w:spacing w:before="100" w:beforeAutospacing="1" w:after="100" w:afterAutospacing="1" w:line="360" w:lineRule="auto"/>
        <w:jc w:val="both"/>
        <w:rPr>
          <w:rFonts w:asciiTheme="majorBidi" w:hAnsiTheme="majorBidi" w:cstheme="majorBidi"/>
          <w:sz w:val="24"/>
          <w:szCs w:val="24"/>
        </w:rPr>
      </w:pPr>
      <w:r>
        <w:rPr>
          <w:rFonts w:asciiTheme="majorBidi" w:hAnsiTheme="majorBidi" w:cstheme="majorBidi"/>
          <w:sz w:val="24"/>
          <w:szCs w:val="24"/>
        </w:rPr>
        <w:t xml:space="preserve"> </w:t>
      </w:r>
      <w:r w:rsidRPr="00814994">
        <w:rPr>
          <w:rFonts w:asciiTheme="majorBidi" w:hAnsiTheme="majorBidi" w:cstheme="majorBidi"/>
          <w:sz w:val="24"/>
          <w:szCs w:val="24"/>
        </w:rPr>
        <w:t xml:space="preserve">Ce résultat peut </w:t>
      </w:r>
      <w:r>
        <w:rPr>
          <w:rFonts w:asciiTheme="majorBidi" w:hAnsiTheme="majorBidi" w:cstheme="majorBidi"/>
          <w:sz w:val="24"/>
          <w:szCs w:val="24"/>
        </w:rPr>
        <w:t>se traduire par le fait de disposer d’une aide matérielle peut avoir un effet positif sur l’état de pauvreté de la personne âgée. En d’autres termes, on peut dire que le soutien économique de la famille peut jouer un rôle primordial dans la réduction de la pauvreté des personnes âgées au Maroc.</w:t>
      </w:r>
    </w:p>
    <w:p w:rsidR="00C11909" w:rsidRPr="00D02488" w:rsidRDefault="00C11909" w:rsidP="00C11909">
      <w:pPr>
        <w:pStyle w:val="Sous-titre"/>
        <w:numPr>
          <w:ilvl w:val="0"/>
          <w:numId w:val="0"/>
        </w:numPr>
        <w:spacing w:before="100" w:beforeAutospacing="1" w:after="0"/>
        <w:jc w:val="center"/>
        <w:rPr>
          <w:rFonts w:asciiTheme="majorBidi" w:hAnsiTheme="majorBidi" w:cstheme="majorBidi"/>
          <w:b/>
          <w:bCs/>
          <w:i/>
          <w:iCs/>
          <w:color w:val="auto"/>
          <w:sz w:val="24"/>
          <w:szCs w:val="24"/>
        </w:rPr>
      </w:pPr>
      <w:r>
        <w:rPr>
          <w:rStyle w:val="Emphaseple"/>
          <w:rFonts w:asciiTheme="majorBidi" w:hAnsiTheme="majorBidi" w:cstheme="majorBidi"/>
          <w:b/>
          <w:bCs/>
          <w:color w:val="auto"/>
          <w:sz w:val="24"/>
          <w:szCs w:val="24"/>
        </w:rPr>
        <w:t xml:space="preserve">Tableau 19 : Taux de pauvreté selon la disposition d’une (des) </w:t>
      </w:r>
      <w:r w:rsidRPr="0041757E">
        <w:rPr>
          <w:rStyle w:val="Emphaseple"/>
          <w:rFonts w:asciiTheme="majorBidi" w:hAnsiTheme="majorBidi" w:cstheme="majorBidi"/>
          <w:b/>
          <w:bCs/>
          <w:color w:val="auto"/>
          <w:sz w:val="24"/>
          <w:szCs w:val="24"/>
        </w:rPr>
        <w:t>aide</w:t>
      </w:r>
      <w:r>
        <w:rPr>
          <w:rStyle w:val="Emphaseple"/>
          <w:rFonts w:asciiTheme="majorBidi" w:hAnsiTheme="majorBidi" w:cstheme="majorBidi"/>
          <w:b/>
          <w:bCs/>
          <w:color w:val="auto"/>
          <w:sz w:val="24"/>
          <w:szCs w:val="24"/>
        </w:rPr>
        <w:t>(</w:t>
      </w:r>
      <w:r w:rsidRPr="0041757E">
        <w:rPr>
          <w:rStyle w:val="Emphaseple"/>
          <w:rFonts w:asciiTheme="majorBidi" w:hAnsiTheme="majorBidi" w:cstheme="majorBidi"/>
          <w:b/>
          <w:bCs/>
          <w:color w:val="auto"/>
          <w:sz w:val="24"/>
          <w:szCs w:val="24"/>
        </w:rPr>
        <w:t>s</w:t>
      </w:r>
      <w:r>
        <w:rPr>
          <w:rStyle w:val="Emphaseple"/>
          <w:rFonts w:asciiTheme="majorBidi" w:hAnsiTheme="majorBidi" w:cstheme="majorBidi"/>
          <w:b/>
          <w:bCs/>
          <w:color w:val="auto"/>
          <w:sz w:val="24"/>
          <w:szCs w:val="24"/>
        </w:rPr>
        <w:t>) matérielle(s)</w:t>
      </w:r>
    </w:p>
    <w:tbl>
      <w:tblPr>
        <w:tblStyle w:val="ListTable6Colorful-Accent31"/>
        <w:tblW w:w="6682" w:type="dxa"/>
        <w:jc w:val="center"/>
        <w:tblLayout w:type="fixed"/>
        <w:tblLook w:val="04A0"/>
      </w:tblPr>
      <w:tblGrid>
        <w:gridCol w:w="3064"/>
        <w:gridCol w:w="1809"/>
        <w:gridCol w:w="1809"/>
      </w:tblGrid>
      <w:tr w:rsidR="00C11909" w:rsidRPr="00D02488" w:rsidTr="00953710">
        <w:trPr>
          <w:cnfStyle w:val="100000000000"/>
          <w:trHeight w:val="621"/>
          <w:jc w:val="center"/>
        </w:trPr>
        <w:tc>
          <w:tcPr>
            <w:cnfStyle w:val="001000000000"/>
            <w:tcW w:w="3064" w:type="dxa"/>
            <w:vMerge w:val="restart"/>
          </w:tcPr>
          <w:p w:rsidR="00C11909" w:rsidRPr="00D02488" w:rsidRDefault="00C11909" w:rsidP="00953710">
            <w:pPr>
              <w:jc w:val="center"/>
              <w:rPr>
                <w:rFonts w:asciiTheme="majorBidi" w:hAnsiTheme="majorBidi" w:cstheme="majorBidi"/>
                <w:bCs w:val="0"/>
                <w:color w:val="auto"/>
                <w:sz w:val="24"/>
                <w:szCs w:val="24"/>
              </w:rPr>
            </w:pPr>
          </w:p>
          <w:p w:rsidR="00C11909" w:rsidRPr="00D02488" w:rsidRDefault="00C11909" w:rsidP="00953710">
            <w:pPr>
              <w:jc w:val="center"/>
              <w:rPr>
                <w:rFonts w:asciiTheme="majorBidi" w:hAnsiTheme="majorBidi" w:cstheme="majorBidi"/>
                <w:bCs w:val="0"/>
                <w:color w:val="auto"/>
                <w:sz w:val="24"/>
                <w:szCs w:val="24"/>
              </w:rPr>
            </w:pPr>
            <w:r w:rsidRPr="00D02488">
              <w:rPr>
                <w:rFonts w:asciiTheme="majorBidi" w:hAnsiTheme="majorBidi" w:cstheme="majorBidi"/>
                <w:color w:val="auto"/>
                <w:sz w:val="24"/>
                <w:szCs w:val="24"/>
              </w:rPr>
              <w:t>Aides matérielles accordées par :</w:t>
            </w:r>
          </w:p>
        </w:tc>
        <w:tc>
          <w:tcPr>
            <w:tcW w:w="3618" w:type="dxa"/>
            <w:gridSpan w:val="2"/>
          </w:tcPr>
          <w:p w:rsidR="00C11909" w:rsidRPr="00D02488" w:rsidRDefault="00C11909" w:rsidP="00953710">
            <w:pPr>
              <w:jc w:val="center"/>
              <w:cnfStyle w:val="100000000000"/>
              <w:rPr>
                <w:rFonts w:asciiTheme="majorBidi" w:hAnsiTheme="majorBidi" w:cstheme="majorBidi"/>
                <w:bCs w:val="0"/>
                <w:color w:val="auto"/>
                <w:sz w:val="24"/>
                <w:szCs w:val="24"/>
              </w:rPr>
            </w:pPr>
            <w:r w:rsidRPr="00D02488">
              <w:rPr>
                <w:rFonts w:asciiTheme="majorBidi" w:hAnsiTheme="majorBidi" w:cstheme="majorBidi"/>
                <w:bCs w:val="0"/>
                <w:color w:val="auto"/>
                <w:sz w:val="24"/>
                <w:szCs w:val="24"/>
              </w:rPr>
              <w:t>Taux de pauvreté</w:t>
            </w:r>
          </w:p>
        </w:tc>
      </w:tr>
      <w:tr w:rsidR="00C11909" w:rsidRPr="00D02488" w:rsidTr="00953710">
        <w:trPr>
          <w:cnfStyle w:val="000000100000"/>
          <w:trHeight w:val="315"/>
          <w:jc w:val="center"/>
        </w:trPr>
        <w:tc>
          <w:tcPr>
            <w:cnfStyle w:val="001000000000"/>
            <w:tcW w:w="3064" w:type="dxa"/>
            <w:vMerge/>
          </w:tcPr>
          <w:p w:rsidR="00C11909" w:rsidRPr="00D02488" w:rsidRDefault="00C11909" w:rsidP="00953710">
            <w:pPr>
              <w:rPr>
                <w:rFonts w:asciiTheme="majorBidi" w:hAnsiTheme="majorBidi" w:cstheme="majorBidi"/>
                <w:bCs w:val="0"/>
                <w:color w:val="auto"/>
                <w:sz w:val="24"/>
                <w:szCs w:val="24"/>
              </w:rPr>
            </w:pPr>
          </w:p>
        </w:tc>
        <w:tc>
          <w:tcPr>
            <w:tcW w:w="1809" w:type="dxa"/>
          </w:tcPr>
          <w:p w:rsidR="00C11909" w:rsidRPr="00A60EDA" w:rsidRDefault="00C11909" w:rsidP="00953710">
            <w:pPr>
              <w:jc w:val="center"/>
              <w:cnfStyle w:val="000000100000"/>
              <w:rPr>
                <w:rFonts w:asciiTheme="majorBidi" w:hAnsiTheme="majorBidi" w:cstheme="majorBidi"/>
                <w:b/>
                <w:color w:val="auto"/>
                <w:sz w:val="24"/>
                <w:szCs w:val="24"/>
              </w:rPr>
            </w:pPr>
            <w:r w:rsidRPr="00A60EDA">
              <w:rPr>
                <w:rFonts w:asciiTheme="majorBidi" w:hAnsiTheme="majorBidi" w:cstheme="majorBidi"/>
                <w:b/>
                <w:color w:val="auto"/>
                <w:sz w:val="24"/>
                <w:szCs w:val="24"/>
              </w:rPr>
              <w:t>Avec aide</w:t>
            </w:r>
          </w:p>
        </w:tc>
        <w:tc>
          <w:tcPr>
            <w:tcW w:w="1809" w:type="dxa"/>
          </w:tcPr>
          <w:p w:rsidR="00C11909" w:rsidRPr="00A60EDA" w:rsidRDefault="00C11909" w:rsidP="00953710">
            <w:pPr>
              <w:jc w:val="center"/>
              <w:cnfStyle w:val="000000100000"/>
              <w:rPr>
                <w:rFonts w:asciiTheme="majorBidi" w:hAnsiTheme="majorBidi" w:cstheme="majorBidi"/>
                <w:b/>
                <w:color w:val="auto"/>
                <w:sz w:val="24"/>
                <w:szCs w:val="24"/>
              </w:rPr>
            </w:pPr>
            <w:r w:rsidRPr="00A60EDA">
              <w:rPr>
                <w:rFonts w:asciiTheme="majorBidi" w:hAnsiTheme="majorBidi" w:cstheme="majorBidi"/>
                <w:b/>
                <w:color w:val="auto"/>
                <w:sz w:val="24"/>
                <w:szCs w:val="24"/>
              </w:rPr>
              <w:t>Sans aide</w:t>
            </w:r>
          </w:p>
        </w:tc>
      </w:tr>
      <w:tr w:rsidR="00C11909" w:rsidRPr="0039019E" w:rsidTr="00953710">
        <w:trPr>
          <w:trHeight w:val="286"/>
          <w:jc w:val="center"/>
        </w:trPr>
        <w:tc>
          <w:tcPr>
            <w:cnfStyle w:val="001000000000"/>
            <w:tcW w:w="3064" w:type="dxa"/>
          </w:tcPr>
          <w:p w:rsidR="00C11909" w:rsidRPr="00A60EDA" w:rsidRDefault="00C11909" w:rsidP="00953710">
            <w:pPr>
              <w:rPr>
                <w:rFonts w:asciiTheme="majorBidi" w:hAnsiTheme="majorBidi" w:cstheme="majorBidi"/>
                <w:bCs w:val="0"/>
                <w:i/>
                <w:iCs/>
                <w:color w:val="auto"/>
                <w:sz w:val="24"/>
                <w:szCs w:val="24"/>
              </w:rPr>
            </w:pPr>
            <w:r w:rsidRPr="00A60EDA">
              <w:rPr>
                <w:rFonts w:asciiTheme="majorBidi" w:hAnsiTheme="majorBidi" w:cstheme="majorBidi"/>
                <w:bCs w:val="0"/>
                <w:i/>
                <w:iCs/>
                <w:color w:val="auto"/>
                <w:sz w:val="24"/>
                <w:szCs w:val="24"/>
              </w:rPr>
              <w:t>Enfants</w:t>
            </w:r>
          </w:p>
        </w:tc>
        <w:tc>
          <w:tcPr>
            <w:tcW w:w="1809" w:type="dxa"/>
          </w:tcPr>
          <w:p w:rsidR="00C11909" w:rsidRPr="00A60EDA" w:rsidRDefault="00C11909" w:rsidP="00953710">
            <w:pPr>
              <w:jc w:val="center"/>
              <w:cnfStyle w:val="000000000000"/>
              <w:rPr>
                <w:rFonts w:asciiTheme="majorBidi" w:hAnsiTheme="majorBidi" w:cstheme="majorBidi"/>
                <w:color w:val="auto"/>
                <w:sz w:val="24"/>
                <w:szCs w:val="24"/>
              </w:rPr>
            </w:pPr>
            <w:r w:rsidRPr="00A60EDA">
              <w:rPr>
                <w:rFonts w:asciiTheme="majorBidi" w:hAnsiTheme="majorBidi" w:cstheme="majorBidi"/>
                <w:color w:val="auto"/>
                <w:sz w:val="24"/>
                <w:szCs w:val="24"/>
              </w:rPr>
              <w:t>16.8</w:t>
            </w:r>
          </w:p>
        </w:tc>
        <w:tc>
          <w:tcPr>
            <w:tcW w:w="1809" w:type="dxa"/>
          </w:tcPr>
          <w:p w:rsidR="00C11909" w:rsidRPr="00A60EDA" w:rsidRDefault="00C11909" w:rsidP="00953710">
            <w:pPr>
              <w:jc w:val="center"/>
              <w:cnfStyle w:val="000000000000"/>
              <w:rPr>
                <w:rFonts w:asciiTheme="majorBidi" w:hAnsiTheme="majorBidi" w:cstheme="majorBidi"/>
                <w:color w:val="auto"/>
                <w:sz w:val="24"/>
                <w:szCs w:val="24"/>
              </w:rPr>
            </w:pPr>
            <w:r w:rsidRPr="00A60EDA">
              <w:rPr>
                <w:rFonts w:asciiTheme="majorBidi" w:hAnsiTheme="majorBidi" w:cstheme="majorBidi"/>
                <w:color w:val="auto"/>
                <w:sz w:val="24"/>
                <w:szCs w:val="24"/>
              </w:rPr>
              <w:t>20.2</w:t>
            </w:r>
          </w:p>
        </w:tc>
      </w:tr>
      <w:tr w:rsidR="00C11909" w:rsidRPr="0039019E" w:rsidTr="00953710">
        <w:trPr>
          <w:cnfStyle w:val="000000100000"/>
          <w:trHeight w:val="290"/>
          <w:jc w:val="center"/>
        </w:trPr>
        <w:tc>
          <w:tcPr>
            <w:cnfStyle w:val="001000000000"/>
            <w:tcW w:w="3064" w:type="dxa"/>
          </w:tcPr>
          <w:p w:rsidR="00C11909" w:rsidRPr="00A60EDA" w:rsidRDefault="00C11909" w:rsidP="00953710">
            <w:pPr>
              <w:rPr>
                <w:rFonts w:asciiTheme="majorBidi" w:hAnsiTheme="majorBidi" w:cstheme="majorBidi"/>
                <w:bCs w:val="0"/>
                <w:i/>
                <w:iCs/>
                <w:color w:val="auto"/>
                <w:sz w:val="24"/>
                <w:szCs w:val="24"/>
              </w:rPr>
            </w:pPr>
            <w:r w:rsidRPr="00A60EDA">
              <w:rPr>
                <w:rFonts w:asciiTheme="majorBidi" w:hAnsiTheme="majorBidi" w:cstheme="majorBidi"/>
                <w:bCs w:val="0"/>
                <w:i/>
                <w:iCs/>
                <w:color w:val="auto"/>
                <w:sz w:val="24"/>
                <w:szCs w:val="24"/>
              </w:rPr>
              <w:t>Membre du ménage</w:t>
            </w:r>
          </w:p>
        </w:tc>
        <w:tc>
          <w:tcPr>
            <w:tcW w:w="1809" w:type="dxa"/>
          </w:tcPr>
          <w:p w:rsidR="00C11909" w:rsidRPr="00A60EDA" w:rsidRDefault="00C11909" w:rsidP="00953710">
            <w:pPr>
              <w:jc w:val="center"/>
              <w:cnfStyle w:val="000000100000"/>
              <w:rPr>
                <w:rFonts w:asciiTheme="majorBidi" w:hAnsiTheme="majorBidi" w:cstheme="majorBidi"/>
                <w:color w:val="auto"/>
                <w:sz w:val="24"/>
                <w:szCs w:val="24"/>
              </w:rPr>
            </w:pPr>
            <w:r w:rsidRPr="00A60EDA">
              <w:rPr>
                <w:rFonts w:asciiTheme="majorBidi" w:hAnsiTheme="majorBidi" w:cstheme="majorBidi"/>
                <w:color w:val="auto"/>
                <w:sz w:val="24"/>
                <w:szCs w:val="24"/>
              </w:rPr>
              <w:t>15.3</w:t>
            </w:r>
          </w:p>
        </w:tc>
        <w:tc>
          <w:tcPr>
            <w:tcW w:w="1809" w:type="dxa"/>
          </w:tcPr>
          <w:p w:rsidR="00C11909" w:rsidRPr="00A60EDA" w:rsidRDefault="00C11909" w:rsidP="00953710">
            <w:pPr>
              <w:jc w:val="center"/>
              <w:cnfStyle w:val="000000100000"/>
              <w:rPr>
                <w:rFonts w:asciiTheme="majorBidi" w:hAnsiTheme="majorBidi" w:cstheme="majorBidi"/>
                <w:color w:val="auto"/>
                <w:sz w:val="24"/>
                <w:szCs w:val="24"/>
              </w:rPr>
            </w:pPr>
            <w:r w:rsidRPr="00A60EDA">
              <w:rPr>
                <w:rFonts w:asciiTheme="majorBidi" w:hAnsiTheme="majorBidi" w:cstheme="majorBidi"/>
                <w:color w:val="auto"/>
                <w:sz w:val="24"/>
                <w:szCs w:val="24"/>
              </w:rPr>
              <w:t>18.8</w:t>
            </w:r>
          </w:p>
        </w:tc>
      </w:tr>
      <w:tr w:rsidR="00C11909" w:rsidRPr="0039019E" w:rsidTr="00953710">
        <w:trPr>
          <w:trHeight w:val="266"/>
          <w:jc w:val="center"/>
        </w:trPr>
        <w:tc>
          <w:tcPr>
            <w:cnfStyle w:val="001000000000"/>
            <w:tcW w:w="3064" w:type="dxa"/>
          </w:tcPr>
          <w:p w:rsidR="00C11909" w:rsidRPr="00A60EDA" w:rsidRDefault="00C11909" w:rsidP="00953710">
            <w:pPr>
              <w:rPr>
                <w:rFonts w:asciiTheme="majorBidi" w:hAnsiTheme="majorBidi" w:cstheme="majorBidi"/>
                <w:bCs w:val="0"/>
                <w:i/>
                <w:iCs/>
                <w:color w:val="auto"/>
                <w:sz w:val="24"/>
                <w:szCs w:val="24"/>
              </w:rPr>
            </w:pPr>
            <w:r w:rsidRPr="00A60EDA">
              <w:rPr>
                <w:rFonts w:asciiTheme="majorBidi" w:hAnsiTheme="majorBidi" w:cstheme="majorBidi"/>
                <w:bCs w:val="0"/>
                <w:i/>
                <w:iCs/>
                <w:color w:val="auto"/>
                <w:sz w:val="24"/>
                <w:szCs w:val="24"/>
              </w:rPr>
              <w:t>Membre de la famille</w:t>
            </w:r>
          </w:p>
        </w:tc>
        <w:tc>
          <w:tcPr>
            <w:tcW w:w="1809" w:type="dxa"/>
          </w:tcPr>
          <w:p w:rsidR="00C11909" w:rsidRPr="00A60EDA" w:rsidRDefault="00C11909" w:rsidP="00953710">
            <w:pPr>
              <w:jc w:val="center"/>
              <w:cnfStyle w:val="000000000000"/>
              <w:rPr>
                <w:rFonts w:asciiTheme="majorBidi" w:hAnsiTheme="majorBidi" w:cstheme="majorBidi"/>
                <w:color w:val="auto"/>
                <w:sz w:val="24"/>
                <w:szCs w:val="24"/>
              </w:rPr>
            </w:pPr>
            <w:r w:rsidRPr="00A60EDA">
              <w:rPr>
                <w:rFonts w:asciiTheme="majorBidi" w:hAnsiTheme="majorBidi" w:cstheme="majorBidi"/>
                <w:color w:val="auto"/>
                <w:sz w:val="24"/>
                <w:szCs w:val="24"/>
              </w:rPr>
              <w:t>20.0</w:t>
            </w:r>
          </w:p>
        </w:tc>
        <w:tc>
          <w:tcPr>
            <w:tcW w:w="1809" w:type="dxa"/>
          </w:tcPr>
          <w:p w:rsidR="00C11909" w:rsidRPr="00A60EDA" w:rsidRDefault="00C11909" w:rsidP="00953710">
            <w:pPr>
              <w:jc w:val="center"/>
              <w:cnfStyle w:val="000000000000"/>
              <w:rPr>
                <w:rFonts w:asciiTheme="majorBidi" w:hAnsiTheme="majorBidi" w:cstheme="majorBidi"/>
                <w:color w:val="auto"/>
                <w:sz w:val="24"/>
                <w:szCs w:val="24"/>
              </w:rPr>
            </w:pPr>
            <w:r w:rsidRPr="00A60EDA">
              <w:rPr>
                <w:rFonts w:asciiTheme="majorBidi" w:hAnsiTheme="majorBidi" w:cstheme="majorBidi"/>
                <w:color w:val="auto"/>
                <w:sz w:val="24"/>
                <w:szCs w:val="24"/>
              </w:rPr>
              <w:t>17.4</w:t>
            </w:r>
          </w:p>
        </w:tc>
      </w:tr>
      <w:tr w:rsidR="00C11909" w:rsidRPr="0039019E" w:rsidTr="00953710">
        <w:trPr>
          <w:cnfStyle w:val="000000100000"/>
          <w:trHeight w:val="266"/>
          <w:jc w:val="center"/>
        </w:trPr>
        <w:tc>
          <w:tcPr>
            <w:cnfStyle w:val="001000000000"/>
            <w:tcW w:w="3064" w:type="dxa"/>
          </w:tcPr>
          <w:p w:rsidR="00C11909" w:rsidRPr="00A60EDA" w:rsidRDefault="00C11909" w:rsidP="00953710">
            <w:pPr>
              <w:rPr>
                <w:rFonts w:asciiTheme="majorBidi" w:hAnsiTheme="majorBidi" w:cstheme="majorBidi"/>
                <w:bCs w:val="0"/>
                <w:i/>
                <w:iCs/>
                <w:color w:val="auto"/>
                <w:sz w:val="24"/>
                <w:szCs w:val="24"/>
              </w:rPr>
            </w:pPr>
            <w:r w:rsidRPr="00A60EDA">
              <w:rPr>
                <w:rFonts w:asciiTheme="majorBidi" w:hAnsiTheme="majorBidi" w:cstheme="majorBidi"/>
                <w:bCs w:val="0"/>
                <w:i/>
                <w:iCs/>
                <w:color w:val="auto"/>
                <w:sz w:val="24"/>
                <w:szCs w:val="24"/>
              </w:rPr>
              <w:t>Ensemble</w:t>
            </w:r>
          </w:p>
        </w:tc>
        <w:tc>
          <w:tcPr>
            <w:tcW w:w="1809" w:type="dxa"/>
          </w:tcPr>
          <w:p w:rsidR="00C11909" w:rsidRPr="00A60EDA" w:rsidRDefault="00C11909" w:rsidP="00953710">
            <w:pPr>
              <w:jc w:val="center"/>
              <w:cnfStyle w:val="000000100000"/>
              <w:rPr>
                <w:rFonts w:asciiTheme="majorBidi" w:hAnsiTheme="majorBidi" w:cstheme="majorBidi"/>
                <w:color w:val="auto"/>
                <w:sz w:val="24"/>
                <w:szCs w:val="24"/>
              </w:rPr>
            </w:pPr>
            <w:r w:rsidRPr="00A60EDA">
              <w:rPr>
                <w:rFonts w:asciiTheme="majorBidi" w:hAnsiTheme="majorBidi" w:cstheme="majorBidi"/>
                <w:color w:val="auto"/>
                <w:sz w:val="24"/>
                <w:szCs w:val="24"/>
              </w:rPr>
              <w:t>17.1</w:t>
            </w:r>
          </w:p>
        </w:tc>
        <w:tc>
          <w:tcPr>
            <w:tcW w:w="1809" w:type="dxa"/>
          </w:tcPr>
          <w:p w:rsidR="00C11909" w:rsidRPr="00A60EDA" w:rsidRDefault="00C11909" w:rsidP="00953710">
            <w:pPr>
              <w:jc w:val="center"/>
              <w:cnfStyle w:val="000000100000"/>
              <w:rPr>
                <w:rFonts w:asciiTheme="majorBidi" w:hAnsiTheme="majorBidi" w:cstheme="majorBidi"/>
                <w:color w:val="auto"/>
                <w:sz w:val="24"/>
                <w:szCs w:val="24"/>
              </w:rPr>
            </w:pPr>
            <w:r w:rsidRPr="00A60EDA">
              <w:rPr>
                <w:rFonts w:asciiTheme="majorBidi" w:hAnsiTheme="majorBidi" w:cstheme="majorBidi"/>
                <w:color w:val="auto"/>
                <w:sz w:val="24"/>
                <w:szCs w:val="24"/>
              </w:rPr>
              <w:t>20.0</w:t>
            </w:r>
          </w:p>
        </w:tc>
      </w:tr>
    </w:tbl>
    <w:p w:rsidR="002F44E7" w:rsidRPr="005058AD" w:rsidRDefault="00C11909" w:rsidP="00C11909">
      <w:pPr>
        <w:jc w:val="both"/>
        <w:rPr>
          <w:rFonts w:asciiTheme="minorBidi" w:hAnsiTheme="minorBidi"/>
          <w:sz w:val="26"/>
          <w:szCs w:val="26"/>
        </w:rPr>
      </w:pPr>
      <w:r w:rsidRPr="0039019E">
        <w:rPr>
          <w:rFonts w:asciiTheme="majorBidi" w:hAnsiTheme="majorBidi" w:cstheme="majorBidi"/>
        </w:rPr>
        <w:t>Source : Traitements effectués par les auteurs à partir des données de l’ENPA 2006, HCP.</w:t>
      </w:r>
    </w:p>
    <w:sectPr w:rsidR="002F44E7" w:rsidRPr="005058AD" w:rsidSect="005D72CD">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32D6" w:rsidRDefault="002A32D6" w:rsidP="00494324">
      <w:pPr>
        <w:spacing w:after="0" w:line="240" w:lineRule="auto"/>
      </w:pPr>
      <w:r>
        <w:separator/>
      </w:r>
    </w:p>
  </w:endnote>
  <w:endnote w:type="continuationSeparator" w:id="1">
    <w:p w:rsidR="002A32D6" w:rsidRDefault="002A32D6" w:rsidP="00494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704058"/>
      <w:docPartObj>
        <w:docPartGallery w:val="Page Numbers (Bottom of Page)"/>
        <w:docPartUnique/>
      </w:docPartObj>
    </w:sdtPr>
    <w:sdtContent>
      <w:p w:rsidR="002F44E7" w:rsidRDefault="00A366C0">
        <w:pPr>
          <w:pStyle w:val="Pieddepage"/>
        </w:pPr>
        <w:r>
          <w:rPr>
            <w:noProof/>
            <w:lang w:eastAsia="zh-TW"/>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2049" type="#_x0000_t65" style="position:absolute;margin-left:0;margin-top:664.5pt;width:29pt;height:21.6pt;z-index:251660288;mso-top-percent:70;mso-position-horizontal:left;mso-position-horizontal-relative:right-margin-area;mso-position-vertical-relative:bottom-margin-area;mso-top-percent:70" o:allowincell="f" adj="14135" strokecolor="gray [1629]" strokeweight=".25pt">
              <v:textbox style="mso-next-textbox:#_x0000_s2049">
                <w:txbxContent>
                  <w:p w:rsidR="002F44E7" w:rsidRDefault="00A366C0">
                    <w:pPr>
                      <w:jc w:val="center"/>
                    </w:pPr>
                    <w:r w:rsidRPr="00A366C0">
                      <w:fldChar w:fldCharType="begin"/>
                    </w:r>
                    <w:r w:rsidR="002F44E7">
                      <w:instrText xml:space="preserve"> PAGE    \* MERGEFORMAT </w:instrText>
                    </w:r>
                    <w:r w:rsidRPr="00A366C0">
                      <w:fldChar w:fldCharType="separate"/>
                    </w:r>
                    <w:r w:rsidR="00844BD4" w:rsidRPr="00844BD4">
                      <w:rPr>
                        <w:noProof/>
                        <w:sz w:val="16"/>
                        <w:szCs w:val="16"/>
                      </w:rPr>
                      <w:t>4</w:t>
                    </w:r>
                    <w:r>
                      <w:rPr>
                        <w:noProof/>
                        <w:sz w:val="16"/>
                        <w:szCs w:val="16"/>
                      </w:rPr>
                      <w:fldChar w:fldCharType="end"/>
                    </w:r>
                  </w:p>
                </w:txbxContent>
              </v:textbox>
              <w10:wrap anchorx="page"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32D6" w:rsidRDefault="002A32D6" w:rsidP="00494324">
      <w:pPr>
        <w:spacing w:after="0" w:line="240" w:lineRule="auto"/>
      </w:pPr>
      <w:r>
        <w:separator/>
      </w:r>
    </w:p>
  </w:footnote>
  <w:footnote w:type="continuationSeparator" w:id="1">
    <w:p w:rsidR="002A32D6" w:rsidRDefault="002A32D6" w:rsidP="00494324">
      <w:pPr>
        <w:spacing w:after="0" w:line="240" w:lineRule="auto"/>
      </w:pPr>
      <w:r>
        <w:continuationSeparator/>
      </w:r>
    </w:p>
  </w:footnote>
  <w:footnote w:id="2">
    <w:p w:rsidR="002F44E7" w:rsidRDefault="002F44E7" w:rsidP="00682ADA">
      <w:pPr>
        <w:pStyle w:val="Notedebasdepage"/>
        <w:jc w:val="both"/>
      </w:pPr>
      <w:r>
        <w:rPr>
          <w:rStyle w:val="Appelnotedebasdep"/>
        </w:rPr>
        <w:footnoteRef/>
      </w:r>
      <w:r w:rsidRPr="000A6C30">
        <w:t xml:space="preserve">Chef de département au Haut-Commissariat au Plan et </w:t>
      </w:r>
      <w:r>
        <w:t xml:space="preserve">Enseignant vacataire à l’Université Hassan II – Casablanca. </w:t>
      </w:r>
      <w:hyperlink r:id="rId1" w:history="1">
        <w:r w:rsidRPr="00A05441">
          <w:rPr>
            <w:rStyle w:val="Lienhypertexte"/>
            <w:rFonts w:eastAsiaTheme="majorEastAsia"/>
          </w:rPr>
          <w:t>ezzrari@yahoo.fr</w:t>
        </w:r>
      </w:hyperlink>
    </w:p>
  </w:footnote>
  <w:footnote w:id="3">
    <w:p w:rsidR="002F44E7" w:rsidRDefault="002F44E7" w:rsidP="00682ADA">
      <w:pPr>
        <w:pStyle w:val="Notedebasdepage"/>
        <w:jc w:val="both"/>
      </w:pPr>
      <w:r>
        <w:rPr>
          <w:rStyle w:val="Appelnotedebasdep"/>
        </w:rPr>
        <w:footnoteRef/>
      </w:r>
      <w:r>
        <w:t xml:space="preserve"> Doctorante en UFR d’</w:t>
      </w:r>
      <w:r w:rsidRPr="00191D37">
        <w:t>Économétrie appliquée à la mo</w:t>
      </w:r>
      <w:r>
        <w:t xml:space="preserve">délisation et l’analyse des comportements micro et macroéconomiques à l’Université Hassan II– Casablanca. </w:t>
      </w:r>
      <w:hyperlink r:id="rId2" w:history="1">
        <w:r w:rsidRPr="002679AE">
          <w:rPr>
            <w:rStyle w:val="Lienhypertexte"/>
            <w:rFonts w:eastAsiaTheme="majorEastAsia"/>
          </w:rPr>
          <w:t>safia.fekkak@gmail.com</w:t>
        </w:r>
      </w:hyperlink>
    </w:p>
  </w:footnote>
  <w:footnote w:id="4">
    <w:p w:rsidR="002F44E7" w:rsidRDefault="002F44E7" w:rsidP="00EF395D">
      <w:pPr>
        <w:pStyle w:val="Notedebasdepage"/>
      </w:pPr>
      <w:r>
        <w:rPr>
          <w:rStyle w:val="Appelnotedebasdep"/>
          <w:rFonts w:eastAsiaTheme="majorEastAsia"/>
        </w:rPr>
        <w:footnoteRef/>
      </w:r>
      <w:r>
        <w:t xml:space="preserve"> Personne âgée vivant seule</w:t>
      </w:r>
    </w:p>
  </w:footnote>
  <w:footnote w:id="5">
    <w:p w:rsidR="002F44E7" w:rsidRDefault="002F44E7" w:rsidP="00EF395D">
      <w:pPr>
        <w:pStyle w:val="Notedebasdepage"/>
      </w:pPr>
      <w:r>
        <w:rPr>
          <w:rStyle w:val="Appelnotedebasdep"/>
          <w:rFonts w:eastAsiaTheme="majorEastAsia"/>
        </w:rPr>
        <w:footnoteRef/>
      </w:r>
      <w:r>
        <w:t xml:space="preserve"> Personne âgée vivant avec son conjoint</w:t>
      </w:r>
    </w:p>
  </w:footnote>
  <w:footnote w:id="6">
    <w:p w:rsidR="002F44E7" w:rsidRDefault="002F44E7" w:rsidP="00EF395D">
      <w:pPr>
        <w:pStyle w:val="Notedebasdepage"/>
      </w:pPr>
      <w:r>
        <w:rPr>
          <w:rStyle w:val="Appelnotedebasdep"/>
          <w:rFonts w:eastAsiaTheme="majorEastAsia"/>
        </w:rPr>
        <w:footnoteRef/>
      </w:r>
      <w:r>
        <w:t xml:space="preserve"> Personne âgée vivant en couple et avec son (ses) enfant(s)</w:t>
      </w:r>
    </w:p>
  </w:footnote>
  <w:footnote w:id="7">
    <w:p w:rsidR="002F44E7" w:rsidRDefault="002F44E7" w:rsidP="00EF395D">
      <w:pPr>
        <w:pStyle w:val="Notedebasdepage"/>
      </w:pPr>
      <w:r>
        <w:rPr>
          <w:rStyle w:val="Appelnotedebasdep"/>
          <w:rFonts w:eastAsiaTheme="majorEastAsia"/>
        </w:rPr>
        <w:footnoteRef/>
      </w:r>
      <w:r>
        <w:t xml:space="preserve"> Personne âgée vivant seulement avec son (ses) enfant(s)</w:t>
      </w:r>
    </w:p>
  </w:footnote>
  <w:footnote w:id="8">
    <w:p w:rsidR="002F44E7" w:rsidRDefault="002F44E7" w:rsidP="00EF395D">
      <w:pPr>
        <w:pStyle w:val="Notedebasdepage"/>
      </w:pPr>
      <w:r>
        <w:rPr>
          <w:rStyle w:val="Appelnotedebasdep"/>
          <w:rFonts w:eastAsiaTheme="majorEastAsia"/>
        </w:rPr>
        <w:footnoteRef/>
      </w:r>
      <w:r>
        <w:t xml:space="preserve"> Ménage où </w:t>
      </w:r>
      <w:r w:rsidRPr="008A014C">
        <w:t>cohabitent la personne âgée</w:t>
      </w:r>
      <w:r>
        <w:t xml:space="preserve">, son conjoint, les ascendants, </w:t>
      </w:r>
      <w:r w:rsidRPr="008A014C">
        <w:t>les descendants et/ou les autres membres (neveux, nièces</w:t>
      </w:r>
      <w:r>
        <w:t xml:space="preserve">, cousins, oncles, pères, beaux </w:t>
      </w:r>
      <w:r w:rsidRPr="008A014C">
        <w:t>pères, petits fils, frères, sœurs…et d'autres personnes sans lien</w:t>
      </w:r>
      <w:r>
        <w:t>.</w:t>
      </w:r>
    </w:p>
  </w:footnote>
  <w:footnote w:id="9">
    <w:p w:rsidR="00C11909" w:rsidRDefault="00C11909" w:rsidP="00C11909">
      <w:pPr>
        <w:pStyle w:val="Notedebasdepage"/>
      </w:pPr>
      <w:r>
        <w:rPr>
          <w:rStyle w:val="Appelnotedebasdep"/>
        </w:rPr>
        <w:footnoteRef/>
      </w:r>
      <w:r>
        <w:t xml:space="preserve"> "Pauvreté multidimensionnelle et allocation du temps des personnes âgées au Maroc", mémoire du Master soutenu par Safia FekkakLouhail et Zineb Jendali, novembre 2015 - Université Hassan II de Casablanca.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02119"/>
    <w:multiLevelType w:val="hybridMultilevel"/>
    <w:tmpl w:val="C5B8A076"/>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87A5C79"/>
    <w:multiLevelType w:val="hybridMultilevel"/>
    <w:tmpl w:val="959055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60A3899"/>
    <w:multiLevelType w:val="hybridMultilevel"/>
    <w:tmpl w:val="2DA8F180"/>
    <w:lvl w:ilvl="0" w:tplc="D01C3EAE">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E117D7"/>
    <w:multiLevelType w:val="hybridMultilevel"/>
    <w:tmpl w:val="D18C9B02"/>
    <w:lvl w:ilvl="0" w:tplc="969A031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7C6E64CB"/>
    <w:multiLevelType w:val="hybridMultilevel"/>
    <w:tmpl w:val="282814D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rsids>
    <w:rsidRoot w:val="005058AD"/>
    <w:rsid w:val="00032592"/>
    <w:rsid w:val="0007498F"/>
    <w:rsid w:val="00076044"/>
    <w:rsid w:val="0008520F"/>
    <w:rsid w:val="000A44F7"/>
    <w:rsid w:val="000C68A9"/>
    <w:rsid w:val="00135EDC"/>
    <w:rsid w:val="0014706B"/>
    <w:rsid w:val="00152FCF"/>
    <w:rsid w:val="001A0BFB"/>
    <w:rsid w:val="001A350F"/>
    <w:rsid w:val="001A7000"/>
    <w:rsid w:val="001B1721"/>
    <w:rsid w:val="002317F2"/>
    <w:rsid w:val="0023211B"/>
    <w:rsid w:val="002A32D6"/>
    <w:rsid w:val="002E1ADE"/>
    <w:rsid w:val="002F0B7B"/>
    <w:rsid w:val="002F44E7"/>
    <w:rsid w:val="003144F4"/>
    <w:rsid w:val="0039019E"/>
    <w:rsid w:val="00400556"/>
    <w:rsid w:val="004906C6"/>
    <w:rsid w:val="00494324"/>
    <w:rsid w:val="005058AD"/>
    <w:rsid w:val="00544503"/>
    <w:rsid w:val="005953AD"/>
    <w:rsid w:val="00595BB0"/>
    <w:rsid w:val="005D72CD"/>
    <w:rsid w:val="005E76FD"/>
    <w:rsid w:val="00621AF0"/>
    <w:rsid w:val="00644DA7"/>
    <w:rsid w:val="00647200"/>
    <w:rsid w:val="00660147"/>
    <w:rsid w:val="00682ADA"/>
    <w:rsid w:val="00695D01"/>
    <w:rsid w:val="006A7D97"/>
    <w:rsid w:val="006F09EF"/>
    <w:rsid w:val="007A01A7"/>
    <w:rsid w:val="007B3D68"/>
    <w:rsid w:val="007C54E4"/>
    <w:rsid w:val="0084035F"/>
    <w:rsid w:val="00844BD4"/>
    <w:rsid w:val="008815EA"/>
    <w:rsid w:val="008C4E81"/>
    <w:rsid w:val="009274C6"/>
    <w:rsid w:val="00936B06"/>
    <w:rsid w:val="009B360F"/>
    <w:rsid w:val="009C6D1B"/>
    <w:rsid w:val="009E1CC9"/>
    <w:rsid w:val="00A02695"/>
    <w:rsid w:val="00A3515A"/>
    <w:rsid w:val="00A366C0"/>
    <w:rsid w:val="00A57A50"/>
    <w:rsid w:val="00A87460"/>
    <w:rsid w:val="00A93207"/>
    <w:rsid w:val="00AD29CD"/>
    <w:rsid w:val="00C11909"/>
    <w:rsid w:val="00C176C0"/>
    <w:rsid w:val="00C76529"/>
    <w:rsid w:val="00C77169"/>
    <w:rsid w:val="00CE065C"/>
    <w:rsid w:val="00CF1B12"/>
    <w:rsid w:val="00CF6D0C"/>
    <w:rsid w:val="00D01210"/>
    <w:rsid w:val="00D06733"/>
    <w:rsid w:val="00D35A9F"/>
    <w:rsid w:val="00D42CA5"/>
    <w:rsid w:val="00D47179"/>
    <w:rsid w:val="00D67D39"/>
    <w:rsid w:val="00D70C59"/>
    <w:rsid w:val="00DC206E"/>
    <w:rsid w:val="00DC6A0B"/>
    <w:rsid w:val="00DD1581"/>
    <w:rsid w:val="00DD722B"/>
    <w:rsid w:val="00E07DA2"/>
    <w:rsid w:val="00EB3C2D"/>
    <w:rsid w:val="00EF395D"/>
    <w:rsid w:val="00F20A0C"/>
    <w:rsid w:val="00F45D91"/>
    <w:rsid w:val="00F55A23"/>
    <w:rsid w:val="00F679FB"/>
    <w:rsid w:val="00FE0ADC"/>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2CD"/>
  </w:style>
  <w:style w:type="paragraph" w:styleId="Titre1">
    <w:name w:val="heading 1"/>
    <w:basedOn w:val="Normal"/>
    <w:next w:val="Normal"/>
    <w:link w:val="Titre1Car"/>
    <w:uiPriority w:val="9"/>
    <w:qFormat/>
    <w:rsid w:val="00CE06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176C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2E1AD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C54E4"/>
    <w:pPr>
      <w:ind w:left="720"/>
      <w:contextualSpacing/>
    </w:pPr>
  </w:style>
  <w:style w:type="paragraph" w:styleId="En-tte">
    <w:name w:val="header"/>
    <w:basedOn w:val="Normal"/>
    <w:link w:val="En-tteCar"/>
    <w:uiPriority w:val="99"/>
    <w:semiHidden/>
    <w:unhideWhenUsed/>
    <w:rsid w:val="0049432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94324"/>
  </w:style>
  <w:style w:type="paragraph" w:styleId="Pieddepage">
    <w:name w:val="footer"/>
    <w:basedOn w:val="Normal"/>
    <w:link w:val="PieddepageCar"/>
    <w:uiPriority w:val="99"/>
    <w:semiHidden/>
    <w:unhideWhenUsed/>
    <w:rsid w:val="0049432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494324"/>
  </w:style>
  <w:style w:type="character" w:customStyle="1" w:styleId="Titre1Car">
    <w:name w:val="Titre 1 Car"/>
    <w:basedOn w:val="Policepardfaut"/>
    <w:link w:val="Titre1"/>
    <w:uiPriority w:val="9"/>
    <w:rsid w:val="00CE065C"/>
    <w:rPr>
      <w:rFonts w:asciiTheme="majorHAnsi" w:eastAsiaTheme="majorEastAsia" w:hAnsiTheme="majorHAnsi" w:cstheme="majorBidi"/>
      <w:color w:val="365F91" w:themeColor="accent1" w:themeShade="BF"/>
      <w:sz w:val="32"/>
      <w:szCs w:val="32"/>
    </w:rPr>
  </w:style>
  <w:style w:type="paragraph" w:styleId="Notedebasdepage">
    <w:name w:val="footnote text"/>
    <w:basedOn w:val="Normal"/>
    <w:link w:val="NotedebasdepageCar"/>
    <w:uiPriority w:val="99"/>
    <w:unhideWhenUsed/>
    <w:rsid w:val="00135EDC"/>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rsid w:val="00135ED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unhideWhenUsed/>
    <w:rsid w:val="00135EDC"/>
    <w:rPr>
      <w:vertAlign w:val="superscript"/>
    </w:rPr>
  </w:style>
  <w:style w:type="paragraph" w:styleId="Sous-titre">
    <w:name w:val="Subtitle"/>
    <w:basedOn w:val="Normal"/>
    <w:next w:val="Normal"/>
    <w:link w:val="Sous-titreCar"/>
    <w:uiPriority w:val="11"/>
    <w:qFormat/>
    <w:rsid w:val="00135EDC"/>
    <w:pPr>
      <w:numPr>
        <w:ilvl w:val="1"/>
      </w:numPr>
      <w:spacing w:after="160" w:line="259" w:lineRule="auto"/>
    </w:pPr>
    <w:rPr>
      <w:rFonts w:eastAsiaTheme="minorEastAsia"/>
      <w:color w:val="5A5A5A" w:themeColor="text1" w:themeTint="A5"/>
      <w:spacing w:val="15"/>
    </w:rPr>
  </w:style>
  <w:style w:type="character" w:customStyle="1" w:styleId="Sous-titreCar">
    <w:name w:val="Sous-titre Car"/>
    <w:basedOn w:val="Policepardfaut"/>
    <w:link w:val="Sous-titre"/>
    <w:uiPriority w:val="11"/>
    <w:rsid w:val="00135EDC"/>
    <w:rPr>
      <w:rFonts w:eastAsiaTheme="minorEastAsia"/>
      <w:color w:val="5A5A5A" w:themeColor="text1" w:themeTint="A5"/>
      <w:spacing w:val="15"/>
    </w:rPr>
  </w:style>
  <w:style w:type="character" w:customStyle="1" w:styleId="Titre2Car">
    <w:name w:val="Titre 2 Car"/>
    <w:basedOn w:val="Policepardfaut"/>
    <w:link w:val="Titre2"/>
    <w:uiPriority w:val="9"/>
    <w:rsid w:val="00C176C0"/>
    <w:rPr>
      <w:rFonts w:asciiTheme="majorHAnsi" w:eastAsiaTheme="majorEastAsia" w:hAnsiTheme="majorHAnsi" w:cstheme="majorBidi"/>
      <w:color w:val="365F91" w:themeColor="accent1" w:themeShade="BF"/>
      <w:sz w:val="26"/>
      <w:szCs w:val="26"/>
    </w:rPr>
  </w:style>
  <w:style w:type="character" w:styleId="Emphaseple">
    <w:name w:val="Subtle Emphasis"/>
    <w:basedOn w:val="Policepardfaut"/>
    <w:uiPriority w:val="19"/>
    <w:qFormat/>
    <w:rsid w:val="00C76529"/>
    <w:rPr>
      <w:i/>
      <w:iCs/>
      <w:color w:val="404040" w:themeColor="text1" w:themeTint="BF"/>
    </w:rPr>
  </w:style>
  <w:style w:type="character" w:customStyle="1" w:styleId="Titre3Car">
    <w:name w:val="Titre 3 Car"/>
    <w:basedOn w:val="Policepardfaut"/>
    <w:link w:val="Titre3"/>
    <w:uiPriority w:val="9"/>
    <w:rsid w:val="002E1ADE"/>
    <w:rPr>
      <w:rFonts w:asciiTheme="majorHAnsi" w:eastAsiaTheme="majorEastAsia" w:hAnsiTheme="majorHAnsi" w:cstheme="majorBidi"/>
      <w:color w:val="243F60" w:themeColor="accent1" w:themeShade="7F"/>
      <w:sz w:val="24"/>
      <w:szCs w:val="24"/>
    </w:rPr>
  </w:style>
  <w:style w:type="table" w:customStyle="1" w:styleId="ListTable6Colorful-Accent31">
    <w:name w:val="List Table 6 Colorful - Accent 31"/>
    <w:basedOn w:val="TableauNormal"/>
    <w:uiPriority w:val="51"/>
    <w:rsid w:val="002E1ADE"/>
    <w:pPr>
      <w:spacing w:after="0" w:line="240" w:lineRule="auto"/>
    </w:pPr>
    <w:rPr>
      <w:color w:val="76923C" w:themeColor="accent3" w:themeShade="BF"/>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
    <w:name w:val="Grid Table 2"/>
    <w:basedOn w:val="TableauNormal"/>
    <w:uiPriority w:val="47"/>
    <w:rsid w:val="002E1ADE"/>
    <w:pPr>
      <w:spacing w:after="0" w:line="240" w:lineRule="auto"/>
    </w:pPr>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6">
    <w:name w:val="Grid Table 1 Light Accent 6"/>
    <w:basedOn w:val="TableauNormal"/>
    <w:uiPriority w:val="46"/>
    <w:rsid w:val="002E1ADE"/>
    <w:pPr>
      <w:spacing w:after="0" w:line="240" w:lineRule="auto"/>
    </w:p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Accent3">
    <w:name w:val="Grid Table 2 Accent 3"/>
    <w:basedOn w:val="TableauNormal"/>
    <w:uiPriority w:val="47"/>
    <w:rsid w:val="002E1ADE"/>
    <w:pPr>
      <w:spacing w:after="0" w:line="240" w:lineRule="auto"/>
    </w:pPr>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21">
    <w:name w:val="Grid Table 6 Colorful - Accent 21"/>
    <w:basedOn w:val="TableauNormal"/>
    <w:uiPriority w:val="51"/>
    <w:rsid w:val="00EF395D"/>
    <w:pPr>
      <w:spacing w:after="0" w:line="240" w:lineRule="auto"/>
    </w:pPr>
    <w:rPr>
      <w:rFonts w:eastAsiaTheme="minorEastAsia"/>
      <w:color w:val="943634" w:themeColor="accent2" w:themeShade="BF"/>
      <w:lang w:eastAsia="fr-FR"/>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Textedebulles">
    <w:name w:val="Balloon Text"/>
    <w:basedOn w:val="Normal"/>
    <w:link w:val="TextedebullesCar"/>
    <w:uiPriority w:val="99"/>
    <w:semiHidden/>
    <w:unhideWhenUsed/>
    <w:rsid w:val="00CF1B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1B12"/>
    <w:rPr>
      <w:rFonts w:ascii="Tahoma" w:hAnsi="Tahoma" w:cs="Tahoma"/>
      <w:sz w:val="16"/>
      <w:szCs w:val="16"/>
    </w:rPr>
  </w:style>
  <w:style w:type="table" w:styleId="Grilledutableau">
    <w:name w:val="Table Grid"/>
    <w:basedOn w:val="TableauNormal"/>
    <w:uiPriority w:val="59"/>
    <w:rsid w:val="00D35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Ombrageclair">
    <w:name w:val="Light Shading"/>
    <w:basedOn w:val="TableauNormal"/>
    <w:uiPriority w:val="60"/>
    <w:rsid w:val="00936B0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3">
    <w:name w:val="Light Shading Accent 3"/>
    <w:basedOn w:val="TableauNormal"/>
    <w:uiPriority w:val="60"/>
    <w:rsid w:val="00936B0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enhypertexte">
    <w:name w:val="Hyperlink"/>
    <w:basedOn w:val="Policepardfaut"/>
    <w:uiPriority w:val="99"/>
    <w:unhideWhenUsed/>
    <w:rsid w:val="00682A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mailto:safia.fekkak@gmail.com" TargetMode="External"/><Relationship Id="rId1" Type="http://schemas.openxmlformats.org/officeDocument/2006/relationships/hyperlink" Target="mailto:ezzrari@yah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31D7D-03EC-40E8-9FEB-CB608CDC0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5225</Words>
  <Characters>28741</Characters>
  <Application>Microsoft Office Word</Application>
  <DocSecurity>0</DocSecurity>
  <Lines>239</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ezzrari</dc:creator>
  <cp:lastModifiedBy>jawad</cp:lastModifiedBy>
  <cp:revision>3</cp:revision>
  <cp:lastPrinted>2015-09-16T11:27:00Z</cp:lastPrinted>
  <dcterms:created xsi:type="dcterms:W3CDTF">2016-03-31T01:10:00Z</dcterms:created>
  <dcterms:modified xsi:type="dcterms:W3CDTF">2016-03-31T01:14:00Z</dcterms:modified>
</cp:coreProperties>
</file>