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EE" w:rsidRDefault="003C5BCC" w:rsidP="003C5BCC">
      <w:pPr>
        <w:spacing w:after="0" w:line="240" w:lineRule="auto"/>
        <w:jc w:val="center"/>
        <w:rPr>
          <w:b/>
          <w:u w:val="single"/>
          <w:lang w:val="fr-BE"/>
        </w:rPr>
      </w:pPr>
      <w:r w:rsidRPr="003C5BCC">
        <w:rPr>
          <w:b/>
          <w:u w:val="single"/>
          <w:lang w:val="fr-BE"/>
        </w:rPr>
        <w:t>Etre ensemble mais vivre séparément</w:t>
      </w:r>
      <w:r w:rsidR="00084271">
        <w:rPr>
          <w:b/>
          <w:u w:val="single"/>
          <w:lang w:val="fr-BE"/>
        </w:rPr>
        <w:t xml:space="preserve"> à Kinshasa </w:t>
      </w:r>
      <w:bookmarkStart w:id="0" w:name="_GoBack"/>
      <w:bookmarkEnd w:id="0"/>
      <w:r w:rsidRPr="003C5BCC">
        <w:rPr>
          <w:b/>
          <w:u w:val="single"/>
          <w:lang w:val="fr-BE"/>
        </w:rPr>
        <w:t>: l’effet de la crise économique sur la cohabitation des couples</w:t>
      </w:r>
    </w:p>
    <w:p w:rsidR="00DD2713" w:rsidRPr="003C5BCC" w:rsidRDefault="00DD2713" w:rsidP="003C5BCC">
      <w:pPr>
        <w:spacing w:after="0" w:line="240" w:lineRule="auto"/>
        <w:jc w:val="center"/>
        <w:rPr>
          <w:b/>
          <w:u w:val="single"/>
          <w:lang w:val="fr-BE"/>
        </w:rPr>
      </w:pPr>
    </w:p>
    <w:p w:rsidR="00DD2713" w:rsidRPr="00566757" w:rsidRDefault="00DD2713" w:rsidP="00DD2713">
      <w:pPr>
        <w:autoSpaceDE w:val="0"/>
        <w:autoSpaceDN w:val="0"/>
        <w:adjustRightInd w:val="0"/>
        <w:spacing w:after="0" w:line="240" w:lineRule="auto"/>
        <w:jc w:val="center"/>
        <w:rPr>
          <w:rFonts w:cs="Times New Roman"/>
          <w:lang w:val="fr-BE"/>
        </w:rPr>
      </w:pPr>
      <w:r w:rsidRPr="00566757">
        <w:rPr>
          <w:rFonts w:cs="Times New Roman"/>
          <w:lang w:val="fr-BE"/>
        </w:rPr>
        <w:t>Jocelyn Nappa</w:t>
      </w:r>
      <w:r w:rsidRPr="00566757">
        <w:rPr>
          <w:rFonts w:cs="Times New Roman"/>
          <w:vertAlign w:val="superscript"/>
          <w:lang w:val="fr-BE"/>
        </w:rPr>
        <w:t>1</w:t>
      </w:r>
      <w:r w:rsidRPr="00566757">
        <w:rPr>
          <w:rFonts w:cs="Times New Roman"/>
          <w:lang w:val="fr-BE"/>
        </w:rPr>
        <w:t xml:space="preserve">, Bruno </w:t>
      </w:r>
      <w:proofErr w:type="spellStart"/>
      <w:r w:rsidRPr="00566757">
        <w:rPr>
          <w:rFonts w:cs="Times New Roman"/>
          <w:lang w:val="fr-BE"/>
        </w:rPr>
        <w:t>Schoumaker</w:t>
      </w:r>
      <w:proofErr w:type="spellEnd"/>
      <w:r w:rsidRPr="001F0920">
        <w:rPr>
          <w:rStyle w:val="FootnoteReference"/>
        </w:rPr>
        <w:footnoteReference w:id="1"/>
      </w:r>
      <w:r w:rsidRPr="00566757">
        <w:rPr>
          <w:rFonts w:cs="Times New Roman"/>
          <w:lang w:val="fr-BE"/>
        </w:rPr>
        <w:t xml:space="preserve">, Albert </w:t>
      </w:r>
      <w:proofErr w:type="spellStart"/>
      <w:r w:rsidRPr="00566757">
        <w:rPr>
          <w:rFonts w:cs="Times New Roman"/>
          <w:lang w:val="fr-BE"/>
        </w:rPr>
        <w:t>Phongi</w:t>
      </w:r>
      <w:proofErr w:type="spellEnd"/>
      <w:r w:rsidRPr="001F0920">
        <w:rPr>
          <w:rStyle w:val="FootnoteReference"/>
        </w:rPr>
        <w:footnoteReference w:id="2"/>
      </w:r>
      <w:r w:rsidRPr="00566757">
        <w:rPr>
          <w:rFonts w:cs="Times New Roman"/>
          <w:lang w:val="fr-BE"/>
        </w:rPr>
        <w:t xml:space="preserve">, Marie-Laurence </w:t>
      </w:r>
      <w:proofErr w:type="spellStart"/>
      <w:r w:rsidRPr="00566757">
        <w:rPr>
          <w:rFonts w:cs="Times New Roman"/>
          <w:lang w:val="fr-BE"/>
        </w:rPr>
        <w:t>Flahaux</w:t>
      </w:r>
      <w:proofErr w:type="spellEnd"/>
      <w:r w:rsidRPr="001F0920">
        <w:rPr>
          <w:rStyle w:val="FootnoteReference"/>
        </w:rPr>
        <w:footnoteReference w:id="3"/>
      </w:r>
    </w:p>
    <w:p w:rsidR="003C5BCC" w:rsidRPr="00DD2713" w:rsidRDefault="003C5BCC" w:rsidP="003C5BCC">
      <w:pPr>
        <w:spacing w:after="0" w:line="240" w:lineRule="auto"/>
        <w:rPr>
          <w:lang w:val="fr-BE"/>
        </w:rPr>
      </w:pPr>
    </w:p>
    <w:p w:rsidR="00196792" w:rsidRPr="00196792" w:rsidRDefault="00196792" w:rsidP="003C5BCC">
      <w:pPr>
        <w:spacing w:after="0" w:line="240" w:lineRule="auto"/>
        <w:rPr>
          <w:b/>
          <w:lang w:val="fr-BE"/>
        </w:rPr>
      </w:pPr>
      <w:r w:rsidRPr="00196792">
        <w:rPr>
          <w:b/>
          <w:lang w:val="fr-BE"/>
        </w:rPr>
        <w:t>Résumé</w:t>
      </w:r>
    </w:p>
    <w:p w:rsidR="00196792" w:rsidRPr="00196792" w:rsidRDefault="00196792" w:rsidP="003C5BCC">
      <w:pPr>
        <w:spacing w:after="0" w:line="240" w:lineRule="auto"/>
        <w:rPr>
          <w:lang w:val="fr-BE"/>
        </w:rPr>
      </w:pPr>
    </w:p>
    <w:p w:rsidR="00196792" w:rsidRDefault="00C06317" w:rsidP="00196792">
      <w:pPr>
        <w:spacing w:after="0" w:line="240" w:lineRule="auto"/>
        <w:jc w:val="both"/>
        <w:rPr>
          <w:lang w:val="fr-FR"/>
        </w:rPr>
      </w:pPr>
      <w:r>
        <w:rPr>
          <w:lang w:val="fr-FR"/>
        </w:rPr>
        <w:t>Le phénomène des couples qui ne partagent pas le même logement a été peu étudié dans le contexte africain. Certaines études soulignent que ce phénomène n’est pas rare et qu’il peut avoir des causes économiques et sociales. S’appuyant sur les données biographiques de l’</w:t>
      </w:r>
      <w:proofErr w:type="spellStart"/>
      <w:r>
        <w:rPr>
          <w:lang w:val="fr-FR"/>
        </w:rPr>
        <w:t>enqu</w:t>
      </w:r>
      <w:r>
        <w:rPr>
          <w:lang w:val="fr-BE"/>
        </w:rPr>
        <w:t>ête</w:t>
      </w:r>
      <w:proofErr w:type="spellEnd"/>
      <w:r>
        <w:rPr>
          <w:lang w:val="fr-BE"/>
        </w:rPr>
        <w:t> MAFE-Congo, c</w:t>
      </w:r>
      <w:r w:rsidR="00196792" w:rsidRPr="00196792">
        <w:rPr>
          <w:lang w:val="fr-BE"/>
        </w:rPr>
        <w:t xml:space="preserve">ette communication </w:t>
      </w:r>
      <w:r w:rsidR="00196792">
        <w:rPr>
          <w:lang w:val="fr-FR"/>
        </w:rPr>
        <w:t>vise à étudier le phénomène des couples qui vivent séparément à Kinshasa</w:t>
      </w:r>
      <w:r w:rsidR="00BC59E9">
        <w:rPr>
          <w:lang w:val="fr-FR"/>
        </w:rPr>
        <w:t>, la capitale de la RD Congo, qui a connu de graves crises économiques depuis la fin des années 1980</w:t>
      </w:r>
      <w:r w:rsidR="006D41BD">
        <w:rPr>
          <w:lang w:val="fr-FR"/>
        </w:rPr>
        <w:t>.</w:t>
      </w:r>
      <w:r w:rsidR="00196792">
        <w:rPr>
          <w:lang w:val="fr-FR"/>
        </w:rPr>
        <w:t xml:space="preserve"> </w:t>
      </w:r>
      <w:r>
        <w:rPr>
          <w:lang w:val="fr-FR"/>
        </w:rPr>
        <w:t xml:space="preserve">L’importance et la dynamique </w:t>
      </w:r>
      <w:r w:rsidR="00196792">
        <w:rPr>
          <w:lang w:val="fr-FR"/>
        </w:rPr>
        <w:t>de ce phénomène</w:t>
      </w:r>
      <w:r>
        <w:rPr>
          <w:lang w:val="fr-FR"/>
        </w:rPr>
        <w:t xml:space="preserve"> sont d’abord étudiée</w:t>
      </w:r>
      <w:r w:rsidR="00B05E2E">
        <w:rPr>
          <w:lang w:val="fr-FR"/>
        </w:rPr>
        <w:t xml:space="preserve">s. Nous nous intéressons </w:t>
      </w:r>
      <w:r>
        <w:rPr>
          <w:lang w:val="fr-FR"/>
        </w:rPr>
        <w:t>plus particulièrement</w:t>
      </w:r>
      <w:r w:rsidR="00B05E2E">
        <w:rPr>
          <w:lang w:val="fr-FR"/>
        </w:rPr>
        <w:t xml:space="preserve"> aux arrangements résidentiels des couples non-</w:t>
      </w:r>
      <w:proofErr w:type="spellStart"/>
      <w:r w:rsidR="00B05E2E">
        <w:rPr>
          <w:lang w:val="fr-FR"/>
        </w:rPr>
        <w:t>cohabitants</w:t>
      </w:r>
      <w:proofErr w:type="spellEnd"/>
      <w:r w:rsidR="00B05E2E">
        <w:rPr>
          <w:lang w:val="fr-FR"/>
        </w:rPr>
        <w:t xml:space="preserve">, ainsi qu’à </w:t>
      </w:r>
      <w:r>
        <w:rPr>
          <w:lang w:val="fr-FR"/>
        </w:rPr>
        <w:t xml:space="preserve">l’entrée et </w:t>
      </w:r>
      <w:r w:rsidR="00B05E2E">
        <w:rPr>
          <w:lang w:val="fr-FR"/>
        </w:rPr>
        <w:t xml:space="preserve">à </w:t>
      </w:r>
      <w:r>
        <w:rPr>
          <w:lang w:val="fr-FR"/>
        </w:rPr>
        <w:t>la sortie</w:t>
      </w:r>
      <w:r w:rsidR="00AD69F8">
        <w:rPr>
          <w:lang w:val="fr-FR"/>
        </w:rPr>
        <w:t xml:space="preserve"> de</w:t>
      </w:r>
      <w:r w:rsidR="00196792">
        <w:rPr>
          <w:lang w:val="fr-FR"/>
        </w:rPr>
        <w:t xml:space="preserve"> cohabitation </w:t>
      </w:r>
      <w:r w:rsidR="00AD69F8">
        <w:rPr>
          <w:lang w:val="fr-FR"/>
        </w:rPr>
        <w:t>pour les couples</w:t>
      </w:r>
      <w:r w:rsidR="00196792">
        <w:rPr>
          <w:lang w:val="fr-FR"/>
        </w:rPr>
        <w:t xml:space="preserve">. </w:t>
      </w:r>
      <w:r w:rsidR="00B05E2E">
        <w:rPr>
          <w:lang w:val="fr-FR"/>
        </w:rPr>
        <w:t>N</w:t>
      </w:r>
      <w:r w:rsidR="00196792">
        <w:rPr>
          <w:lang w:val="fr-FR"/>
        </w:rPr>
        <w:t>ous analysons</w:t>
      </w:r>
      <w:r w:rsidR="00B05E2E">
        <w:rPr>
          <w:lang w:val="fr-FR"/>
        </w:rPr>
        <w:t xml:space="preserve"> </w:t>
      </w:r>
      <w:r w:rsidR="00196792">
        <w:rPr>
          <w:lang w:val="fr-FR"/>
        </w:rPr>
        <w:t xml:space="preserve">les facteurs qui expliquent </w:t>
      </w:r>
      <w:r w:rsidR="00B05E2E">
        <w:rPr>
          <w:lang w:val="fr-FR"/>
        </w:rPr>
        <w:t xml:space="preserve">le retard de </w:t>
      </w:r>
      <w:r w:rsidR="00196792">
        <w:rPr>
          <w:lang w:val="fr-FR"/>
        </w:rPr>
        <w:t xml:space="preserve">l'entrée en cohabitation </w:t>
      </w:r>
      <w:r w:rsidR="00B05E2E">
        <w:rPr>
          <w:lang w:val="fr-FR"/>
        </w:rPr>
        <w:t>et ceux qui</w:t>
      </w:r>
      <w:r w:rsidR="00196792">
        <w:rPr>
          <w:lang w:val="fr-FR"/>
        </w:rPr>
        <w:t xml:space="preserve"> augmentent la probabilité de </w:t>
      </w:r>
      <w:r w:rsidR="00B05E2E">
        <w:rPr>
          <w:lang w:val="fr-FR"/>
        </w:rPr>
        <w:t>déc</w:t>
      </w:r>
      <w:r w:rsidR="00196792">
        <w:rPr>
          <w:lang w:val="fr-FR"/>
        </w:rPr>
        <w:t>ohabitation.</w:t>
      </w:r>
      <w:r w:rsidR="00CD1160">
        <w:rPr>
          <w:lang w:val="fr-FR"/>
        </w:rPr>
        <w:t xml:space="preserve"> </w:t>
      </w:r>
      <w:r w:rsidR="00196792">
        <w:rPr>
          <w:lang w:val="fr-FR"/>
        </w:rPr>
        <w:t xml:space="preserve">Notre hypothèse principale est que les difficultés économiques retardent l'entrée en cohabitation et augmentent le risque de rupture de la cohabitation </w:t>
      </w:r>
      <w:r w:rsidR="0028376E">
        <w:rPr>
          <w:lang w:val="fr-FR"/>
        </w:rPr>
        <w:t>des couples</w:t>
      </w:r>
      <w:r w:rsidR="00196792">
        <w:rPr>
          <w:lang w:val="fr-FR"/>
        </w:rPr>
        <w:t xml:space="preserve">. </w:t>
      </w:r>
      <w:r w:rsidR="00425673">
        <w:rPr>
          <w:lang w:val="fr-BE"/>
        </w:rPr>
        <w:t>Nos résultats confirment cette hypothèse et montrent que</w:t>
      </w:r>
      <w:r w:rsidR="00196792">
        <w:rPr>
          <w:lang w:val="fr-FR"/>
        </w:rPr>
        <w:t xml:space="preserve"> le fait d’être ensemble mais de vivre séparément </w:t>
      </w:r>
      <w:r w:rsidR="00425673">
        <w:rPr>
          <w:lang w:val="fr-FR"/>
        </w:rPr>
        <w:t>à Kinshasa est</w:t>
      </w:r>
      <w:r w:rsidR="00196792">
        <w:rPr>
          <w:lang w:val="fr-FR"/>
        </w:rPr>
        <w:t xml:space="preserve"> plus fréquent pour les générations récentes et pour les individus qui font face à des difficultés financières plus importantes.</w:t>
      </w:r>
    </w:p>
    <w:p w:rsidR="00196792" w:rsidRPr="00196792" w:rsidRDefault="00196792" w:rsidP="003C5BCC">
      <w:pPr>
        <w:spacing w:after="0" w:line="240" w:lineRule="auto"/>
        <w:rPr>
          <w:lang w:val="fr-BE"/>
        </w:rPr>
      </w:pPr>
    </w:p>
    <w:p w:rsidR="003C5BCC" w:rsidRPr="00196792" w:rsidRDefault="004960BE" w:rsidP="003C5BCC">
      <w:pPr>
        <w:spacing w:after="0" w:line="240" w:lineRule="auto"/>
        <w:rPr>
          <w:b/>
          <w:lang w:val="fr-BE"/>
        </w:rPr>
      </w:pPr>
      <w:r w:rsidRPr="00196792">
        <w:rPr>
          <w:b/>
          <w:lang w:val="fr-BE"/>
        </w:rPr>
        <w:t>Introduction</w:t>
      </w:r>
    </w:p>
    <w:p w:rsidR="004960BE" w:rsidRPr="00196792" w:rsidRDefault="004960BE" w:rsidP="003C5BCC">
      <w:pPr>
        <w:spacing w:after="0" w:line="240" w:lineRule="auto"/>
        <w:rPr>
          <w:lang w:val="fr-BE"/>
        </w:rPr>
      </w:pPr>
    </w:p>
    <w:p w:rsidR="002E69C9" w:rsidRDefault="003C5BCC" w:rsidP="003C5BCC">
      <w:pPr>
        <w:spacing w:after="0" w:line="240" w:lineRule="auto"/>
        <w:jc w:val="both"/>
        <w:rPr>
          <w:lang w:val="fr-FR"/>
        </w:rPr>
      </w:pPr>
      <w:r>
        <w:rPr>
          <w:lang w:val="fr-FR"/>
        </w:rPr>
        <w:t>Le phénomène des couples qui ne partagent pas le même logement a été peu étudié dans le contexte africain. Certaines études soulignent que ce phénomène n’est pas rare et qu’il peut avoir des causes diverses.</w:t>
      </w:r>
      <w:r w:rsidR="00BE3D8B">
        <w:rPr>
          <w:lang w:val="fr-FR"/>
        </w:rPr>
        <w:t xml:space="preserve"> </w:t>
      </w:r>
      <w:r w:rsidR="00D10DCF">
        <w:rPr>
          <w:lang w:val="fr-FR"/>
        </w:rPr>
        <w:t xml:space="preserve">Dans le cas de l’Afrique subsaharienne rurale, </w:t>
      </w:r>
      <w:proofErr w:type="spellStart"/>
      <w:r>
        <w:rPr>
          <w:lang w:val="fr-FR"/>
        </w:rPr>
        <w:t>Findley</w:t>
      </w:r>
      <w:proofErr w:type="spellEnd"/>
      <w:r>
        <w:rPr>
          <w:lang w:val="fr-FR"/>
        </w:rPr>
        <w:t xml:space="preserve"> (1997) sug</w:t>
      </w:r>
      <w:r w:rsidR="00D10DCF">
        <w:rPr>
          <w:lang w:val="fr-FR"/>
        </w:rPr>
        <w:t xml:space="preserve">gère </w:t>
      </w:r>
      <w:r>
        <w:rPr>
          <w:lang w:val="fr-FR"/>
        </w:rPr>
        <w:t xml:space="preserve">que les contraintes sociales et économiques expliquent le fait que les couples ne vivent pas toujours sous le même toit. D'une part, les hommes peuvent devoir quitter leurs villages pour travailler et diversifier les ressources des ménages tandis que les femmes et les enfants restent au village. D'autre part, </w:t>
      </w:r>
      <w:r w:rsidR="00D10DCF">
        <w:rPr>
          <w:lang w:val="fr-FR"/>
        </w:rPr>
        <w:t>le</w:t>
      </w:r>
      <w:r w:rsidR="00D10DCF" w:rsidRPr="00D10DCF">
        <w:rPr>
          <w:lang w:val="fr-FR"/>
        </w:rPr>
        <w:t xml:space="preserve"> </w:t>
      </w:r>
      <w:r w:rsidR="00D10DCF">
        <w:rPr>
          <w:lang w:val="fr-FR"/>
        </w:rPr>
        <w:t xml:space="preserve">niveau d'interaction entre les conjoints peut être faible et ceux-ci peuvent ne pas vivre ensemble lorsque </w:t>
      </w:r>
      <w:r>
        <w:rPr>
          <w:lang w:val="fr-FR"/>
        </w:rPr>
        <w:t xml:space="preserve">l’union </w:t>
      </w:r>
      <w:r w:rsidR="00D10DCF">
        <w:rPr>
          <w:lang w:val="fr-FR"/>
        </w:rPr>
        <w:t>n’</w:t>
      </w:r>
      <w:r>
        <w:rPr>
          <w:lang w:val="fr-FR"/>
        </w:rPr>
        <w:t xml:space="preserve">est pas le résultat d'un libre choix, s’il s’agit d’une union polygame ou si la différence d'âge entre les conjoints est </w:t>
      </w:r>
      <w:r w:rsidR="00D10DCF">
        <w:rPr>
          <w:lang w:val="fr-FR"/>
        </w:rPr>
        <w:t xml:space="preserve">importante </w:t>
      </w:r>
      <w:r>
        <w:rPr>
          <w:lang w:val="fr-FR"/>
        </w:rPr>
        <w:t>(</w:t>
      </w:r>
      <w:proofErr w:type="spellStart"/>
      <w:r>
        <w:rPr>
          <w:lang w:val="fr-FR"/>
        </w:rPr>
        <w:t>Findley</w:t>
      </w:r>
      <w:proofErr w:type="spellEnd"/>
      <w:r>
        <w:rPr>
          <w:lang w:val="fr-FR"/>
        </w:rPr>
        <w:t xml:space="preserve"> 1997). Ce phénomène se retrouve également dans les villes africaines. Par exemple, à Dakar, les jeunes quittent le domicile parental plus tard (Diagne et </w:t>
      </w:r>
      <w:proofErr w:type="spellStart"/>
      <w:r>
        <w:rPr>
          <w:lang w:val="fr-FR"/>
        </w:rPr>
        <w:t>Lessault</w:t>
      </w:r>
      <w:proofErr w:type="spellEnd"/>
      <w:r>
        <w:rPr>
          <w:lang w:val="fr-FR"/>
        </w:rPr>
        <w:t xml:space="preserve"> 2007). </w:t>
      </w:r>
      <w:r w:rsidR="002E69C9">
        <w:rPr>
          <w:lang w:val="fr-FR"/>
        </w:rPr>
        <w:t>En effet, q</w:t>
      </w:r>
      <w:r w:rsidR="00D10DCF">
        <w:rPr>
          <w:lang w:val="fr-FR"/>
        </w:rPr>
        <w:t>uand bien même ils sont en couple</w:t>
      </w:r>
      <w:r>
        <w:rPr>
          <w:lang w:val="fr-FR"/>
        </w:rPr>
        <w:t>, les difficultés économiques entravent leur émancipation résidentielle. Les difficultés financières des couples qui cohabitent peuvent également</w:t>
      </w:r>
      <w:r w:rsidR="00D10DCF">
        <w:rPr>
          <w:lang w:val="fr-FR"/>
        </w:rPr>
        <w:t xml:space="preserve"> les</w:t>
      </w:r>
      <w:r>
        <w:rPr>
          <w:lang w:val="fr-FR"/>
        </w:rPr>
        <w:t xml:space="preserve"> pousser</w:t>
      </w:r>
      <w:r w:rsidR="00D10DCF">
        <w:rPr>
          <w:lang w:val="fr-FR"/>
        </w:rPr>
        <w:t>, à un certain moment,</w:t>
      </w:r>
      <w:r>
        <w:rPr>
          <w:lang w:val="fr-FR"/>
        </w:rPr>
        <w:t xml:space="preserve"> </w:t>
      </w:r>
      <w:r w:rsidR="00D10DCF">
        <w:rPr>
          <w:lang w:val="fr-FR"/>
        </w:rPr>
        <w:t>à</w:t>
      </w:r>
      <w:r>
        <w:rPr>
          <w:lang w:val="fr-FR"/>
        </w:rPr>
        <w:t xml:space="preserve"> retourner </w:t>
      </w:r>
      <w:r w:rsidR="00D10DCF">
        <w:rPr>
          <w:lang w:val="fr-FR"/>
        </w:rPr>
        <w:t>vivre chez</w:t>
      </w:r>
      <w:r>
        <w:rPr>
          <w:lang w:val="fr-FR"/>
        </w:rPr>
        <w:t xml:space="preserve"> leurs parents</w:t>
      </w:r>
      <w:r w:rsidR="00D10DCF">
        <w:rPr>
          <w:lang w:val="fr-FR"/>
        </w:rPr>
        <w:t xml:space="preserve"> ou à</w:t>
      </w:r>
      <w:r>
        <w:rPr>
          <w:lang w:val="fr-FR"/>
        </w:rPr>
        <w:t xml:space="preserve"> </w:t>
      </w:r>
      <w:r w:rsidR="002E69C9">
        <w:rPr>
          <w:lang w:val="fr-FR"/>
        </w:rPr>
        <w:t xml:space="preserve">devoir </w:t>
      </w:r>
      <w:r w:rsidR="00D10DCF">
        <w:rPr>
          <w:lang w:val="fr-FR"/>
        </w:rPr>
        <w:t>vivre séparément,</w:t>
      </w:r>
      <w:r>
        <w:rPr>
          <w:lang w:val="fr-FR"/>
        </w:rPr>
        <w:t xml:space="preserve"> tout en restant en couple. La migration internationale peut aussi </w:t>
      </w:r>
      <w:r w:rsidR="002E69C9">
        <w:rPr>
          <w:lang w:val="fr-FR"/>
        </w:rPr>
        <w:t>amener</w:t>
      </w:r>
      <w:r>
        <w:rPr>
          <w:lang w:val="fr-FR"/>
        </w:rPr>
        <w:t xml:space="preserve"> les familles </w:t>
      </w:r>
      <w:r w:rsidR="002E69C9">
        <w:rPr>
          <w:lang w:val="fr-FR"/>
        </w:rPr>
        <w:t xml:space="preserve">à vivre séparément et </w:t>
      </w:r>
      <w:r>
        <w:rPr>
          <w:lang w:val="fr-FR"/>
        </w:rPr>
        <w:t xml:space="preserve">à devenir </w:t>
      </w:r>
      <w:r w:rsidR="002E69C9">
        <w:rPr>
          <w:lang w:val="fr-BE"/>
        </w:rPr>
        <w:t>« </w:t>
      </w:r>
      <w:r>
        <w:rPr>
          <w:lang w:val="fr-FR"/>
        </w:rPr>
        <w:t>transnationale</w:t>
      </w:r>
      <w:r w:rsidR="002E69C9">
        <w:rPr>
          <w:lang w:val="fr-FR"/>
        </w:rPr>
        <w:t>s » (Beauchemin et al. 2015).</w:t>
      </w:r>
    </w:p>
    <w:p w:rsidR="002E69C9" w:rsidRDefault="003C5BCC" w:rsidP="003C5BCC">
      <w:pPr>
        <w:spacing w:after="0" w:line="240" w:lineRule="auto"/>
        <w:jc w:val="both"/>
        <w:rPr>
          <w:lang w:val="fr-FR"/>
        </w:rPr>
      </w:pPr>
      <w:r>
        <w:rPr>
          <w:lang w:val="fr-FR"/>
        </w:rPr>
        <w:br/>
      </w:r>
      <w:r w:rsidR="002E69C9">
        <w:rPr>
          <w:lang w:val="fr-FR"/>
        </w:rPr>
        <w:t>Kinshasa se présente comme un</w:t>
      </w:r>
      <w:r>
        <w:rPr>
          <w:lang w:val="fr-FR"/>
        </w:rPr>
        <w:t xml:space="preserve"> cas intéressant pour </w:t>
      </w:r>
      <w:r w:rsidR="002E69C9">
        <w:rPr>
          <w:lang w:val="fr-FR"/>
        </w:rPr>
        <w:t xml:space="preserve">étudier ce </w:t>
      </w:r>
      <w:proofErr w:type="spellStart"/>
      <w:r w:rsidR="002E69C9">
        <w:rPr>
          <w:lang w:val="fr-FR"/>
        </w:rPr>
        <w:t>phénom</w:t>
      </w:r>
      <w:r w:rsidR="002E69C9">
        <w:rPr>
          <w:lang w:val="fr-BE"/>
        </w:rPr>
        <w:t>ène</w:t>
      </w:r>
      <w:proofErr w:type="spellEnd"/>
      <w:r>
        <w:rPr>
          <w:lang w:val="fr-FR"/>
        </w:rPr>
        <w:t xml:space="preserve">. Son histoire a été marquée par de </w:t>
      </w:r>
      <w:r w:rsidR="002E69C9">
        <w:rPr>
          <w:lang w:val="fr-FR"/>
        </w:rPr>
        <w:t xml:space="preserve">graves </w:t>
      </w:r>
      <w:r>
        <w:rPr>
          <w:lang w:val="fr-FR"/>
        </w:rPr>
        <w:t>crises politiques et économiques depuis la fin des années 1980</w:t>
      </w:r>
      <w:r w:rsidR="002E69C9">
        <w:rPr>
          <w:lang w:val="fr-FR"/>
        </w:rPr>
        <w:t>,</w:t>
      </w:r>
      <w:r>
        <w:rPr>
          <w:lang w:val="fr-FR"/>
        </w:rPr>
        <w:t xml:space="preserve"> et les années 1990 ont été l'un</w:t>
      </w:r>
      <w:r w:rsidR="002E69C9">
        <w:rPr>
          <w:lang w:val="fr-FR"/>
        </w:rPr>
        <w:t>e des</w:t>
      </w:r>
      <w:r>
        <w:rPr>
          <w:lang w:val="fr-FR"/>
        </w:rPr>
        <w:t xml:space="preserve"> période</w:t>
      </w:r>
      <w:r w:rsidR="002E69C9">
        <w:rPr>
          <w:lang w:val="fr-FR"/>
        </w:rPr>
        <w:t>s les</w:t>
      </w:r>
      <w:r>
        <w:rPr>
          <w:lang w:val="fr-FR"/>
        </w:rPr>
        <w:t xml:space="preserve"> plus sombre</w:t>
      </w:r>
      <w:r w:rsidR="002E69C9">
        <w:rPr>
          <w:lang w:val="fr-FR"/>
        </w:rPr>
        <w:t>s</w:t>
      </w:r>
      <w:r>
        <w:rPr>
          <w:lang w:val="fr-FR"/>
        </w:rPr>
        <w:t xml:space="preserve"> dans l'histoire récente de la RD Congo. Le chômage chez les jeunes en milieu urbain a explosé depuis le début des années 1990 (</w:t>
      </w:r>
      <w:proofErr w:type="spellStart"/>
      <w:r>
        <w:rPr>
          <w:lang w:val="fr-FR"/>
        </w:rPr>
        <w:t>Trefon</w:t>
      </w:r>
      <w:proofErr w:type="spellEnd"/>
      <w:r>
        <w:rPr>
          <w:lang w:val="fr-FR"/>
        </w:rPr>
        <w:t xml:space="preserve"> 2004), le pouvoir d'achat de la population congolaise a considérablement diminué et le coût du logement a augmenté. Plus que dans les autres villes africaines, la détérioration des conditions de vie devrait </w:t>
      </w:r>
      <w:r w:rsidR="002E69C9">
        <w:rPr>
          <w:lang w:val="fr-FR"/>
        </w:rPr>
        <w:t>avoir influencé les arrangements des couples quant au fait de vivre ensemble ou à distance.</w:t>
      </w:r>
      <w:r>
        <w:rPr>
          <w:lang w:val="fr-FR"/>
        </w:rPr>
        <w:t xml:space="preserve"> Bien que </w:t>
      </w:r>
      <w:r w:rsidR="002E69C9">
        <w:rPr>
          <w:lang w:val="fr-FR"/>
        </w:rPr>
        <w:t xml:space="preserve">le </w:t>
      </w:r>
      <w:r w:rsidR="002E69C9">
        <w:rPr>
          <w:lang w:val="fr-FR"/>
        </w:rPr>
        <w:lastRenderedPageBreak/>
        <w:t xml:space="preserve">fait de </w:t>
      </w:r>
      <w:r>
        <w:rPr>
          <w:lang w:val="fr-FR"/>
        </w:rPr>
        <w:t>vivre ensemble est souvent conçu comme</w:t>
      </w:r>
      <w:r w:rsidR="002E69C9">
        <w:rPr>
          <w:lang w:val="fr-FR"/>
        </w:rPr>
        <w:t xml:space="preserve"> étant</w:t>
      </w:r>
      <w:r>
        <w:rPr>
          <w:lang w:val="fr-FR"/>
        </w:rPr>
        <w:t xml:space="preserve"> fondamental pour les couples en RD Congo (</w:t>
      </w:r>
      <w:proofErr w:type="spellStart"/>
      <w:r>
        <w:rPr>
          <w:lang w:val="fr-FR"/>
        </w:rPr>
        <w:t>Ngondo</w:t>
      </w:r>
      <w:proofErr w:type="spellEnd"/>
      <w:r>
        <w:rPr>
          <w:lang w:val="fr-FR"/>
        </w:rPr>
        <w:t xml:space="preserve"> de 1996), des preuves anecdotiques indiquent que </w:t>
      </w:r>
      <w:r w:rsidR="002E69C9">
        <w:rPr>
          <w:lang w:val="fr-FR"/>
        </w:rPr>
        <w:t xml:space="preserve">le fait d’être </w:t>
      </w:r>
      <w:r>
        <w:rPr>
          <w:lang w:val="fr-FR"/>
        </w:rPr>
        <w:t xml:space="preserve">ensemble </w:t>
      </w:r>
      <w:r w:rsidR="002E69C9">
        <w:rPr>
          <w:lang w:val="fr-FR"/>
        </w:rPr>
        <w:t xml:space="preserve">mais de vivre </w:t>
      </w:r>
      <w:r>
        <w:rPr>
          <w:lang w:val="fr-FR"/>
        </w:rPr>
        <w:t xml:space="preserve">séparément </w:t>
      </w:r>
      <w:r w:rsidR="002E69C9">
        <w:rPr>
          <w:lang w:val="fr-FR"/>
        </w:rPr>
        <w:t>n’</w:t>
      </w:r>
      <w:r>
        <w:rPr>
          <w:lang w:val="fr-FR"/>
        </w:rPr>
        <w:t xml:space="preserve">est pas rare, et que le retour </w:t>
      </w:r>
      <w:r w:rsidR="002E69C9">
        <w:rPr>
          <w:lang w:val="fr-FR"/>
        </w:rPr>
        <w:t>au domicile</w:t>
      </w:r>
      <w:r>
        <w:rPr>
          <w:lang w:val="fr-FR"/>
        </w:rPr>
        <w:t xml:space="preserve"> parent</w:t>
      </w:r>
      <w:r w:rsidR="002E69C9">
        <w:rPr>
          <w:lang w:val="fr-FR"/>
        </w:rPr>
        <w:t xml:space="preserve">al est une </w:t>
      </w:r>
      <w:r>
        <w:rPr>
          <w:lang w:val="fr-FR"/>
        </w:rPr>
        <w:t xml:space="preserve">stratégie utilisée par les couples </w:t>
      </w:r>
      <w:r w:rsidR="001366F1">
        <w:rPr>
          <w:lang w:val="fr-FR"/>
        </w:rPr>
        <w:t xml:space="preserve">qui sont </w:t>
      </w:r>
      <w:r>
        <w:rPr>
          <w:lang w:val="fr-FR"/>
        </w:rPr>
        <w:t>confrontés à des difficultés économiques.</w:t>
      </w:r>
    </w:p>
    <w:p w:rsidR="001366F1" w:rsidRDefault="003C5BCC" w:rsidP="003C5BCC">
      <w:pPr>
        <w:spacing w:after="0" w:line="240" w:lineRule="auto"/>
        <w:jc w:val="both"/>
        <w:rPr>
          <w:lang w:val="fr-FR"/>
        </w:rPr>
      </w:pPr>
      <w:r>
        <w:rPr>
          <w:lang w:val="fr-FR"/>
        </w:rPr>
        <w:br/>
      </w:r>
      <w:r w:rsidR="001366F1">
        <w:rPr>
          <w:lang w:val="fr-FR"/>
        </w:rPr>
        <w:t xml:space="preserve">Cette communication </w:t>
      </w:r>
      <w:r>
        <w:rPr>
          <w:lang w:val="fr-FR"/>
        </w:rPr>
        <w:t>vise à étudier le phénomène de</w:t>
      </w:r>
      <w:r w:rsidR="001366F1">
        <w:rPr>
          <w:lang w:val="fr-FR"/>
        </w:rPr>
        <w:t>s couples qui vivent séparément</w:t>
      </w:r>
      <w:r>
        <w:rPr>
          <w:lang w:val="fr-FR"/>
        </w:rPr>
        <w:t xml:space="preserve"> à Kinshasa, avec trois objectifs spécifiques. En premier lieu, </w:t>
      </w:r>
      <w:r w:rsidR="001366F1">
        <w:rPr>
          <w:lang w:val="fr-FR"/>
        </w:rPr>
        <w:t xml:space="preserve">nous nous intéressons à </w:t>
      </w:r>
      <w:r>
        <w:rPr>
          <w:lang w:val="fr-FR"/>
        </w:rPr>
        <w:t>l</w:t>
      </w:r>
      <w:r w:rsidR="00C06317">
        <w:rPr>
          <w:lang w:val="fr-FR"/>
        </w:rPr>
        <w:t>’importanc</w:t>
      </w:r>
      <w:r>
        <w:rPr>
          <w:lang w:val="fr-FR"/>
        </w:rPr>
        <w:t xml:space="preserve">e de ce phénomène. Deuxièmement, </w:t>
      </w:r>
      <w:r w:rsidR="001366F1">
        <w:rPr>
          <w:lang w:val="fr-FR"/>
        </w:rPr>
        <w:t>d</w:t>
      </w:r>
      <w:r>
        <w:rPr>
          <w:lang w:val="fr-FR"/>
        </w:rPr>
        <w:t>es données rétrospectives sur les logement</w:t>
      </w:r>
      <w:r w:rsidR="001366F1">
        <w:rPr>
          <w:lang w:val="fr-FR"/>
        </w:rPr>
        <w:t>s</w:t>
      </w:r>
      <w:r>
        <w:rPr>
          <w:lang w:val="fr-FR"/>
        </w:rPr>
        <w:t xml:space="preserve"> et les </w:t>
      </w:r>
      <w:r w:rsidR="001366F1">
        <w:rPr>
          <w:lang w:val="fr-FR"/>
        </w:rPr>
        <w:t>unions s</w:t>
      </w:r>
      <w:r>
        <w:rPr>
          <w:lang w:val="fr-FR"/>
        </w:rPr>
        <w:t>ont utilisé</w:t>
      </w:r>
      <w:r w:rsidR="001366F1">
        <w:rPr>
          <w:lang w:val="fr-FR"/>
        </w:rPr>
        <w:t>e</w:t>
      </w:r>
      <w:r>
        <w:rPr>
          <w:lang w:val="fr-FR"/>
        </w:rPr>
        <w:t>s</w:t>
      </w:r>
      <w:r w:rsidR="001366F1">
        <w:rPr>
          <w:lang w:val="fr-FR"/>
        </w:rPr>
        <w:t xml:space="preserve"> pour étudier la dynamique du</w:t>
      </w:r>
      <w:r>
        <w:rPr>
          <w:lang w:val="fr-FR"/>
        </w:rPr>
        <w:t xml:space="preserve"> phénomène. </w:t>
      </w:r>
      <w:r w:rsidR="001366F1">
        <w:rPr>
          <w:lang w:val="fr-FR"/>
        </w:rPr>
        <w:t>L’</w:t>
      </w:r>
      <w:r>
        <w:rPr>
          <w:lang w:val="fr-FR"/>
        </w:rPr>
        <w:t>entrée en cohabitation au sein des couples</w:t>
      </w:r>
      <w:r w:rsidR="001366F1">
        <w:rPr>
          <w:lang w:val="fr-FR"/>
        </w:rPr>
        <w:t xml:space="preserve"> et la</w:t>
      </w:r>
      <w:r w:rsidR="00C06317">
        <w:rPr>
          <w:lang w:val="fr-FR"/>
        </w:rPr>
        <w:t xml:space="preserve"> sortie</w:t>
      </w:r>
      <w:r>
        <w:rPr>
          <w:lang w:val="fr-FR"/>
        </w:rPr>
        <w:t xml:space="preserve"> de la cohabitation tout en restant </w:t>
      </w:r>
      <w:r w:rsidR="001366F1">
        <w:rPr>
          <w:lang w:val="fr-FR"/>
        </w:rPr>
        <w:t>en couple sont décrites</w:t>
      </w:r>
      <w:r>
        <w:rPr>
          <w:lang w:val="fr-FR"/>
        </w:rPr>
        <w:t>. L</w:t>
      </w:r>
      <w:r w:rsidR="001366F1">
        <w:rPr>
          <w:lang w:val="fr-FR"/>
        </w:rPr>
        <w:t xml:space="preserve">es </w:t>
      </w:r>
      <w:r w:rsidR="00AD69F8">
        <w:rPr>
          <w:lang w:val="fr-FR"/>
        </w:rPr>
        <w:t>arra</w:t>
      </w:r>
      <w:r w:rsidR="008E200D">
        <w:rPr>
          <w:lang w:val="fr-FR"/>
        </w:rPr>
        <w:t>n</w:t>
      </w:r>
      <w:r w:rsidR="00AD69F8">
        <w:rPr>
          <w:lang w:val="fr-FR"/>
        </w:rPr>
        <w:t xml:space="preserve">gements résidentiels des </w:t>
      </w:r>
      <w:r w:rsidR="001366F1">
        <w:rPr>
          <w:lang w:val="fr-FR"/>
        </w:rPr>
        <w:t>couples non-</w:t>
      </w:r>
      <w:proofErr w:type="spellStart"/>
      <w:r w:rsidR="001366F1">
        <w:rPr>
          <w:lang w:val="fr-FR"/>
        </w:rPr>
        <w:t>cohabitants</w:t>
      </w:r>
      <w:proofErr w:type="spellEnd"/>
      <w:r w:rsidR="001366F1">
        <w:rPr>
          <w:lang w:val="fr-FR"/>
        </w:rPr>
        <w:t xml:space="preserve"> s</w:t>
      </w:r>
      <w:r>
        <w:rPr>
          <w:lang w:val="fr-FR"/>
        </w:rPr>
        <w:t xml:space="preserve">ont également </w:t>
      </w:r>
      <w:r w:rsidR="001366F1">
        <w:rPr>
          <w:lang w:val="fr-FR"/>
        </w:rPr>
        <w:t>étudié</w:t>
      </w:r>
      <w:r>
        <w:rPr>
          <w:lang w:val="fr-FR"/>
        </w:rPr>
        <w:t xml:space="preserve">s. Troisièmement, nous </w:t>
      </w:r>
      <w:r w:rsidR="001366F1">
        <w:rPr>
          <w:lang w:val="fr-FR"/>
        </w:rPr>
        <w:t>analysons</w:t>
      </w:r>
      <w:r>
        <w:rPr>
          <w:lang w:val="fr-FR"/>
        </w:rPr>
        <w:t xml:space="preserve"> les facteurs qui expliq</w:t>
      </w:r>
      <w:r w:rsidR="001366F1">
        <w:rPr>
          <w:lang w:val="fr-FR"/>
        </w:rPr>
        <w:t>uent ce phénomène, en distinguant</w:t>
      </w:r>
      <w:r>
        <w:rPr>
          <w:lang w:val="fr-FR"/>
        </w:rPr>
        <w:t xml:space="preserve"> les facteurs qui retardent l'entrée en cohabitation des facteurs qui augmentent la probabilité </w:t>
      </w:r>
      <w:r w:rsidR="00B05E2E">
        <w:rPr>
          <w:lang w:val="fr-FR"/>
        </w:rPr>
        <w:t>de dé</w:t>
      </w:r>
      <w:r>
        <w:rPr>
          <w:lang w:val="fr-FR"/>
        </w:rPr>
        <w:t>cohabitation.</w:t>
      </w:r>
    </w:p>
    <w:p w:rsidR="003C5BCC" w:rsidRDefault="003C5BCC" w:rsidP="003C5BCC">
      <w:pPr>
        <w:spacing w:after="0" w:line="240" w:lineRule="auto"/>
        <w:jc w:val="both"/>
        <w:rPr>
          <w:lang w:val="fr-FR"/>
        </w:rPr>
      </w:pPr>
      <w:r>
        <w:rPr>
          <w:lang w:val="fr-FR"/>
        </w:rPr>
        <w:br/>
        <w:t xml:space="preserve">Notre hypothèse principale est que les difficultés économiques </w:t>
      </w:r>
      <w:r w:rsidR="001366F1">
        <w:rPr>
          <w:lang w:val="fr-FR"/>
        </w:rPr>
        <w:t xml:space="preserve">retardent </w:t>
      </w:r>
      <w:r>
        <w:rPr>
          <w:lang w:val="fr-FR"/>
        </w:rPr>
        <w:t xml:space="preserve">l'entrée </w:t>
      </w:r>
      <w:r w:rsidR="001366F1">
        <w:rPr>
          <w:lang w:val="fr-FR"/>
        </w:rPr>
        <w:t>en</w:t>
      </w:r>
      <w:r>
        <w:rPr>
          <w:lang w:val="fr-FR"/>
        </w:rPr>
        <w:t xml:space="preserve"> cohabitation et augmente</w:t>
      </w:r>
      <w:r w:rsidR="001366F1">
        <w:rPr>
          <w:lang w:val="fr-FR"/>
        </w:rPr>
        <w:t>nt</w:t>
      </w:r>
      <w:r>
        <w:rPr>
          <w:lang w:val="fr-FR"/>
        </w:rPr>
        <w:t xml:space="preserve"> le risque de rupture de la cohabitation </w:t>
      </w:r>
      <w:r w:rsidR="0028376E">
        <w:rPr>
          <w:lang w:val="fr-FR"/>
        </w:rPr>
        <w:t xml:space="preserve">des </w:t>
      </w:r>
      <w:r>
        <w:rPr>
          <w:lang w:val="fr-FR"/>
        </w:rPr>
        <w:t>couple</w:t>
      </w:r>
      <w:r w:rsidR="0028376E">
        <w:rPr>
          <w:lang w:val="fr-FR"/>
        </w:rPr>
        <w:t>s</w:t>
      </w:r>
      <w:r>
        <w:rPr>
          <w:lang w:val="fr-FR"/>
        </w:rPr>
        <w:t xml:space="preserve">. </w:t>
      </w:r>
      <w:r w:rsidR="001366F1">
        <w:rPr>
          <w:lang w:val="fr-FR"/>
        </w:rPr>
        <w:t>Par</w:t>
      </w:r>
      <w:r>
        <w:rPr>
          <w:lang w:val="fr-FR"/>
        </w:rPr>
        <w:t xml:space="preserve"> conséquen</w:t>
      </w:r>
      <w:r w:rsidR="001366F1">
        <w:rPr>
          <w:lang w:val="fr-FR"/>
        </w:rPr>
        <w:t>t</w:t>
      </w:r>
      <w:r>
        <w:rPr>
          <w:lang w:val="fr-FR"/>
        </w:rPr>
        <w:t xml:space="preserve">, nous nous attendons à </w:t>
      </w:r>
      <w:r w:rsidR="001366F1">
        <w:rPr>
          <w:lang w:val="fr-FR"/>
        </w:rPr>
        <w:t>ce que le fait d’être</w:t>
      </w:r>
      <w:r>
        <w:rPr>
          <w:lang w:val="fr-FR"/>
        </w:rPr>
        <w:t xml:space="preserve"> ensemble </w:t>
      </w:r>
      <w:r w:rsidR="001366F1">
        <w:rPr>
          <w:lang w:val="fr-FR"/>
        </w:rPr>
        <w:t xml:space="preserve">mais de vivre </w:t>
      </w:r>
      <w:r>
        <w:rPr>
          <w:lang w:val="fr-FR"/>
        </w:rPr>
        <w:t xml:space="preserve">séparément </w:t>
      </w:r>
      <w:r w:rsidR="001366F1">
        <w:rPr>
          <w:lang w:val="fr-FR"/>
        </w:rPr>
        <w:t>soit particulièrement plus fréquent</w:t>
      </w:r>
      <w:r>
        <w:rPr>
          <w:lang w:val="fr-FR"/>
        </w:rPr>
        <w:t xml:space="preserve"> </w:t>
      </w:r>
      <w:r w:rsidR="001366F1">
        <w:rPr>
          <w:lang w:val="fr-FR"/>
        </w:rPr>
        <w:t>pour</w:t>
      </w:r>
      <w:r>
        <w:rPr>
          <w:lang w:val="fr-FR"/>
        </w:rPr>
        <w:t xml:space="preserve"> les générations récentes et </w:t>
      </w:r>
      <w:r w:rsidR="001366F1">
        <w:rPr>
          <w:lang w:val="fr-FR"/>
        </w:rPr>
        <w:t xml:space="preserve">pour </w:t>
      </w:r>
      <w:r>
        <w:rPr>
          <w:lang w:val="fr-FR"/>
        </w:rPr>
        <w:t xml:space="preserve">les individus qui font face à des difficultés financières plus </w:t>
      </w:r>
      <w:r w:rsidR="001366F1">
        <w:rPr>
          <w:lang w:val="fr-FR"/>
        </w:rPr>
        <w:t>importante</w:t>
      </w:r>
      <w:r>
        <w:rPr>
          <w:lang w:val="fr-FR"/>
        </w:rPr>
        <w:t>s.</w:t>
      </w:r>
    </w:p>
    <w:p w:rsidR="004960BE" w:rsidRDefault="004960BE" w:rsidP="003C5BCC">
      <w:pPr>
        <w:spacing w:after="0" w:line="240" w:lineRule="auto"/>
        <w:jc w:val="both"/>
        <w:rPr>
          <w:lang w:val="fr-FR"/>
        </w:rPr>
      </w:pPr>
    </w:p>
    <w:p w:rsidR="004960BE" w:rsidRDefault="004960BE" w:rsidP="004960BE">
      <w:pPr>
        <w:keepNext/>
        <w:spacing w:after="0" w:line="240" w:lineRule="auto"/>
        <w:jc w:val="both"/>
        <w:rPr>
          <w:b/>
          <w:lang w:val="fr-FR"/>
        </w:rPr>
      </w:pPr>
      <w:r>
        <w:rPr>
          <w:b/>
          <w:lang w:val="fr-FR"/>
        </w:rPr>
        <w:t>Données et méthodes</w:t>
      </w:r>
    </w:p>
    <w:p w:rsidR="004960BE" w:rsidRDefault="004960BE" w:rsidP="004960BE">
      <w:pPr>
        <w:keepNext/>
        <w:spacing w:after="0" w:line="240" w:lineRule="auto"/>
        <w:jc w:val="both"/>
        <w:rPr>
          <w:b/>
          <w:lang w:val="fr-FR"/>
        </w:rPr>
      </w:pPr>
    </w:p>
    <w:p w:rsidR="004960BE" w:rsidRPr="004960BE" w:rsidRDefault="004960BE" w:rsidP="004960BE">
      <w:pPr>
        <w:keepNext/>
        <w:spacing w:after="0" w:line="240" w:lineRule="auto"/>
        <w:jc w:val="both"/>
        <w:rPr>
          <w:lang w:val="fr-BE"/>
        </w:rPr>
      </w:pPr>
      <w:r w:rsidRPr="004960BE">
        <w:rPr>
          <w:lang w:val="fr-BE"/>
        </w:rPr>
        <w:t xml:space="preserve">Les données </w:t>
      </w:r>
      <w:r>
        <w:rPr>
          <w:lang w:val="fr-BE"/>
        </w:rPr>
        <w:t xml:space="preserve">utilisées </w:t>
      </w:r>
      <w:r w:rsidRPr="004960BE">
        <w:rPr>
          <w:lang w:val="fr-BE"/>
        </w:rPr>
        <w:t>provi</w:t>
      </w:r>
      <w:r>
        <w:rPr>
          <w:lang w:val="fr-BE"/>
        </w:rPr>
        <w:t xml:space="preserve">ennent de l'enquête MAFE-Congo, réalisée </w:t>
      </w:r>
      <w:r w:rsidRPr="004960BE">
        <w:rPr>
          <w:lang w:val="fr-BE"/>
        </w:rPr>
        <w:t xml:space="preserve">en 2009 auprès d'un échantillon représentatif de 1638 adultes (684 hommes et 954 femmes de 25 ans et plus) </w:t>
      </w:r>
      <w:r>
        <w:rPr>
          <w:lang w:val="fr-BE"/>
        </w:rPr>
        <w:t>dans</w:t>
      </w:r>
      <w:r w:rsidRPr="004960BE">
        <w:rPr>
          <w:lang w:val="fr-BE"/>
        </w:rPr>
        <w:t xml:space="preserve"> la ville de Kinshasa (</w:t>
      </w:r>
      <w:proofErr w:type="spellStart"/>
      <w:r w:rsidRPr="004960BE">
        <w:rPr>
          <w:lang w:val="fr-BE"/>
        </w:rPr>
        <w:t>Schoumaker</w:t>
      </w:r>
      <w:proofErr w:type="spellEnd"/>
      <w:r w:rsidRPr="004960BE">
        <w:rPr>
          <w:lang w:val="fr-BE"/>
        </w:rPr>
        <w:t xml:space="preserve"> et </w:t>
      </w:r>
      <w:proofErr w:type="gramStart"/>
      <w:r w:rsidRPr="004960BE">
        <w:rPr>
          <w:lang w:val="fr-BE"/>
        </w:rPr>
        <w:t>al.,</w:t>
      </w:r>
      <w:proofErr w:type="gramEnd"/>
      <w:r w:rsidRPr="004960BE">
        <w:rPr>
          <w:lang w:val="fr-BE"/>
        </w:rPr>
        <w:t xml:space="preserve"> 20</w:t>
      </w:r>
      <w:r>
        <w:rPr>
          <w:lang w:val="fr-BE"/>
        </w:rPr>
        <w:t xml:space="preserve">13). Cette enquête biographique, </w:t>
      </w:r>
      <w:r w:rsidRPr="004960BE">
        <w:rPr>
          <w:lang w:val="fr-BE"/>
        </w:rPr>
        <w:t xml:space="preserve">même si elle </w:t>
      </w:r>
      <w:r>
        <w:rPr>
          <w:lang w:val="fr-BE"/>
        </w:rPr>
        <w:t xml:space="preserve">s’intéresse </w:t>
      </w:r>
      <w:r w:rsidRPr="004960BE">
        <w:rPr>
          <w:lang w:val="fr-BE"/>
        </w:rPr>
        <w:t xml:space="preserve">principalement </w:t>
      </w:r>
      <w:r>
        <w:rPr>
          <w:lang w:val="fr-BE"/>
        </w:rPr>
        <w:t xml:space="preserve">à la migration internationale, a collecté des informations sur les </w:t>
      </w:r>
      <w:r w:rsidRPr="004960BE">
        <w:rPr>
          <w:lang w:val="fr-BE"/>
        </w:rPr>
        <w:t xml:space="preserve">histoires </w:t>
      </w:r>
      <w:r>
        <w:rPr>
          <w:lang w:val="fr-BE"/>
        </w:rPr>
        <w:t>d’unions</w:t>
      </w:r>
      <w:r w:rsidRPr="004960BE">
        <w:rPr>
          <w:lang w:val="fr-BE"/>
        </w:rPr>
        <w:t>,</w:t>
      </w:r>
      <w:r>
        <w:rPr>
          <w:lang w:val="fr-BE"/>
        </w:rPr>
        <w:t xml:space="preserve"> de logements</w:t>
      </w:r>
      <w:r w:rsidRPr="004960BE">
        <w:rPr>
          <w:lang w:val="fr-BE"/>
        </w:rPr>
        <w:t xml:space="preserve"> et </w:t>
      </w:r>
      <w:r>
        <w:rPr>
          <w:lang w:val="fr-BE"/>
        </w:rPr>
        <w:t xml:space="preserve">d’emploi </w:t>
      </w:r>
      <w:r w:rsidRPr="004960BE">
        <w:rPr>
          <w:lang w:val="fr-BE"/>
        </w:rPr>
        <w:t xml:space="preserve">(Beauchemin, </w:t>
      </w:r>
      <w:r>
        <w:rPr>
          <w:lang w:val="fr-BE"/>
        </w:rPr>
        <w:t>2015). Ce type de</w:t>
      </w:r>
      <w:r w:rsidRPr="004960BE">
        <w:rPr>
          <w:lang w:val="fr-BE"/>
        </w:rPr>
        <w:t xml:space="preserve"> données, qui restent rares dans le contexte africain, sont uniques dans le contexte de la RD</w:t>
      </w:r>
      <w:r>
        <w:rPr>
          <w:lang w:val="fr-BE"/>
        </w:rPr>
        <w:t xml:space="preserve"> Congo. Dans le module sur les unions, l'histoire de toutes les unions</w:t>
      </w:r>
      <w:r w:rsidRPr="004960BE">
        <w:rPr>
          <w:lang w:val="fr-BE"/>
        </w:rPr>
        <w:t xml:space="preserve"> qui ont duré au moins un an (avec ou sans mariage) est enregistré</w:t>
      </w:r>
      <w:r>
        <w:rPr>
          <w:lang w:val="fr-BE"/>
        </w:rPr>
        <w:t>e</w:t>
      </w:r>
      <w:r w:rsidRPr="004960BE">
        <w:rPr>
          <w:lang w:val="fr-BE"/>
        </w:rPr>
        <w:t xml:space="preserve">. Pour chaque </w:t>
      </w:r>
      <w:r>
        <w:rPr>
          <w:lang w:val="fr-BE"/>
        </w:rPr>
        <w:t>union</w:t>
      </w:r>
      <w:r w:rsidRPr="004960BE">
        <w:rPr>
          <w:lang w:val="fr-BE"/>
        </w:rPr>
        <w:t xml:space="preserve">, </w:t>
      </w:r>
      <w:r>
        <w:rPr>
          <w:lang w:val="fr-BE"/>
        </w:rPr>
        <w:t xml:space="preserve">les dates de début et de fin d’union </w:t>
      </w:r>
      <w:r w:rsidRPr="004960BE">
        <w:rPr>
          <w:lang w:val="fr-BE"/>
        </w:rPr>
        <w:t xml:space="preserve">sont enregistrées. </w:t>
      </w:r>
      <w:r>
        <w:rPr>
          <w:lang w:val="fr-BE"/>
        </w:rPr>
        <w:t>Les histoires</w:t>
      </w:r>
      <w:r w:rsidRPr="004960BE">
        <w:rPr>
          <w:lang w:val="fr-BE"/>
        </w:rPr>
        <w:t xml:space="preserve"> résidentiel</w:t>
      </w:r>
      <w:r w:rsidR="00165180">
        <w:rPr>
          <w:lang w:val="fr-BE"/>
        </w:rPr>
        <w:t>le</w:t>
      </w:r>
      <w:r w:rsidRPr="004960BE">
        <w:rPr>
          <w:lang w:val="fr-BE"/>
        </w:rPr>
        <w:t>s contiennent des information</w:t>
      </w:r>
      <w:r w:rsidR="00165180">
        <w:rPr>
          <w:lang w:val="fr-BE"/>
        </w:rPr>
        <w:t>s annuelles sur les logements dans lesquels les enquêtés ont vécu ains</w:t>
      </w:r>
      <w:r w:rsidRPr="004960BE">
        <w:rPr>
          <w:lang w:val="fr-BE"/>
        </w:rPr>
        <w:t xml:space="preserve">i que sur les personnes </w:t>
      </w:r>
      <w:r w:rsidR="00165180">
        <w:rPr>
          <w:lang w:val="fr-BE"/>
        </w:rPr>
        <w:t xml:space="preserve">qui ont </w:t>
      </w:r>
      <w:r w:rsidRPr="004960BE">
        <w:rPr>
          <w:lang w:val="fr-BE"/>
        </w:rPr>
        <w:t>partag</w:t>
      </w:r>
      <w:r w:rsidR="00165180">
        <w:rPr>
          <w:lang w:val="fr-BE"/>
        </w:rPr>
        <w:t>é le même logement. Ces</w:t>
      </w:r>
      <w:r w:rsidRPr="004960BE">
        <w:rPr>
          <w:lang w:val="fr-BE"/>
        </w:rPr>
        <w:t xml:space="preserve"> information</w:t>
      </w:r>
      <w:r w:rsidR="00165180">
        <w:rPr>
          <w:lang w:val="fr-BE"/>
        </w:rPr>
        <w:t>s</w:t>
      </w:r>
      <w:r w:rsidRPr="004960BE">
        <w:rPr>
          <w:lang w:val="fr-BE"/>
        </w:rPr>
        <w:t xml:space="preserve"> nous permet</w:t>
      </w:r>
      <w:r w:rsidR="00165180">
        <w:rPr>
          <w:lang w:val="fr-BE"/>
        </w:rPr>
        <w:t>tent</w:t>
      </w:r>
      <w:r w:rsidRPr="004960BE">
        <w:rPr>
          <w:lang w:val="fr-BE"/>
        </w:rPr>
        <w:t xml:space="preserve"> de savoir</w:t>
      </w:r>
      <w:r w:rsidR="00165180">
        <w:rPr>
          <w:lang w:val="fr-BE"/>
        </w:rPr>
        <w:t xml:space="preserve">, </w:t>
      </w:r>
      <w:r w:rsidRPr="004960BE">
        <w:rPr>
          <w:lang w:val="fr-BE"/>
        </w:rPr>
        <w:t>à tout moment</w:t>
      </w:r>
      <w:r w:rsidR="00165180">
        <w:rPr>
          <w:lang w:val="fr-BE"/>
        </w:rPr>
        <w:t>,</w:t>
      </w:r>
      <w:r w:rsidRPr="004960BE">
        <w:rPr>
          <w:lang w:val="fr-BE"/>
        </w:rPr>
        <w:t xml:space="preserve"> si les </w:t>
      </w:r>
      <w:r w:rsidR="00165180">
        <w:rPr>
          <w:lang w:val="fr-BE"/>
        </w:rPr>
        <w:t>individus</w:t>
      </w:r>
      <w:r w:rsidRPr="004960BE">
        <w:rPr>
          <w:lang w:val="fr-BE"/>
        </w:rPr>
        <w:t xml:space="preserve"> étaient </w:t>
      </w:r>
      <w:r w:rsidR="00165180">
        <w:rPr>
          <w:lang w:val="fr-BE"/>
        </w:rPr>
        <w:t>en couple et s’</w:t>
      </w:r>
      <w:r w:rsidRPr="004960BE">
        <w:rPr>
          <w:lang w:val="fr-BE"/>
        </w:rPr>
        <w:t>ils vivaien</w:t>
      </w:r>
      <w:r w:rsidR="00165180">
        <w:rPr>
          <w:lang w:val="fr-BE"/>
        </w:rPr>
        <w:t>t avec leur conjoint ou non. D’a</w:t>
      </w:r>
      <w:r w:rsidRPr="004960BE">
        <w:rPr>
          <w:lang w:val="fr-BE"/>
        </w:rPr>
        <w:t>utres modules fournissent des informations sur la migration des membres de l'ento</w:t>
      </w:r>
      <w:r w:rsidR="00165180">
        <w:rPr>
          <w:lang w:val="fr-BE"/>
        </w:rPr>
        <w:t>urage des personnes (y compris d</w:t>
      </w:r>
      <w:r w:rsidRPr="004960BE">
        <w:rPr>
          <w:lang w:val="fr-BE"/>
        </w:rPr>
        <w:t xml:space="preserve">es </w:t>
      </w:r>
      <w:r w:rsidR="00165180">
        <w:rPr>
          <w:lang w:val="fr-BE"/>
        </w:rPr>
        <w:t>conjoints</w:t>
      </w:r>
      <w:r w:rsidRPr="004960BE">
        <w:rPr>
          <w:lang w:val="fr-BE"/>
        </w:rPr>
        <w:t>), sur les conditions de vie des ménages et sur le statut d'emploi des individus.</w:t>
      </w:r>
    </w:p>
    <w:p w:rsidR="004960BE" w:rsidRDefault="00165180" w:rsidP="004960BE">
      <w:pPr>
        <w:spacing w:after="0" w:line="240" w:lineRule="auto"/>
        <w:jc w:val="both"/>
        <w:rPr>
          <w:lang w:val="fr-BE"/>
        </w:rPr>
      </w:pPr>
      <w:r>
        <w:rPr>
          <w:lang w:val="fr-BE"/>
        </w:rPr>
        <w:t>Des</w:t>
      </w:r>
      <w:r w:rsidR="004960BE" w:rsidRPr="004960BE">
        <w:rPr>
          <w:lang w:val="fr-BE"/>
        </w:rPr>
        <w:t xml:space="preserve"> méthodes </w:t>
      </w:r>
      <w:r>
        <w:rPr>
          <w:lang w:val="fr-BE"/>
        </w:rPr>
        <w:t xml:space="preserve">d’analyses </w:t>
      </w:r>
      <w:r w:rsidR="004960BE" w:rsidRPr="004960BE">
        <w:rPr>
          <w:lang w:val="fr-BE"/>
        </w:rPr>
        <w:t>descriptives et multivariée</w:t>
      </w:r>
      <w:r>
        <w:rPr>
          <w:lang w:val="fr-BE"/>
        </w:rPr>
        <w:t>s</w:t>
      </w:r>
      <w:r w:rsidR="004960BE" w:rsidRPr="004960BE">
        <w:rPr>
          <w:lang w:val="fr-BE"/>
        </w:rPr>
        <w:t xml:space="preserve"> </w:t>
      </w:r>
      <w:r>
        <w:rPr>
          <w:lang w:val="fr-BE"/>
        </w:rPr>
        <w:t>de</w:t>
      </w:r>
      <w:r w:rsidR="004960BE" w:rsidRPr="004960BE">
        <w:rPr>
          <w:lang w:val="fr-BE"/>
        </w:rPr>
        <w:t xml:space="preserve"> données longitudinales sont utilisé</w:t>
      </w:r>
      <w:r>
        <w:rPr>
          <w:lang w:val="fr-BE"/>
        </w:rPr>
        <w:t>es. L’estimateur de</w:t>
      </w:r>
      <w:r w:rsidR="004960BE" w:rsidRPr="004960BE">
        <w:rPr>
          <w:lang w:val="fr-BE"/>
        </w:rPr>
        <w:t xml:space="preserve"> Kaplan-Meier </w:t>
      </w:r>
      <w:r>
        <w:rPr>
          <w:lang w:val="fr-BE"/>
        </w:rPr>
        <w:t>nous permet de</w:t>
      </w:r>
      <w:r w:rsidR="004960BE" w:rsidRPr="004960BE">
        <w:rPr>
          <w:lang w:val="fr-BE"/>
        </w:rPr>
        <w:t xml:space="preserve"> décrire </w:t>
      </w:r>
      <w:r>
        <w:rPr>
          <w:lang w:val="fr-BE"/>
        </w:rPr>
        <w:t xml:space="preserve">les </w:t>
      </w:r>
      <w:r w:rsidR="004960BE" w:rsidRPr="004960BE">
        <w:rPr>
          <w:lang w:val="fr-BE"/>
        </w:rPr>
        <w:t>entrée</w:t>
      </w:r>
      <w:r>
        <w:rPr>
          <w:lang w:val="fr-BE"/>
        </w:rPr>
        <w:t>s et les</w:t>
      </w:r>
      <w:r w:rsidR="004960BE" w:rsidRPr="004960BE">
        <w:rPr>
          <w:lang w:val="fr-BE"/>
        </w:rPr>
        <w:t xml:space="preserve"> sortie</w:t>
      </w:r>
      <w:r>
        <w:rPr>
          <w:lang w:val="fr-BE"/>
        </w:rPr>
        <w:t>s</w:t>
      </w:r>
      <w:r w:rsidR="004960BE" w:rsidRPr="004960BE">
        <w:rPr>
          <w:lang w:val="fr-BE"/>
        </w:rPr>
        <w:t xml:space="preserve"> de la cohabitation. </w:t>
      </w:r>
      <w:r>
        <w:rPr>
          <w:lang w:val="fr-BE"/>
        </w:rPr>
        <w:t>Des analyses biographiques en temps</w:t>
      </w:r>
      <w:r w:rsidR="004960BE" w:rsidRPr="004960BE">
        <w:rPr>
          <w:lang w:val="fr-BE"/>
        </w:rPr>
        <w:t xml:space="preserve"> discret sont utilisé</w:t>
      </w:r>
      <w:r>
        <w:rPr>
          <w:lang w:val="fr-BE"/>
        </w:rPr>
        <w:t>e</w:t>
      </w:r>
      <w:r w:rsidR="004960BE" w:rsidRPr="004960BE">
        <w:rPr>
          <w:lang w:val="fr-BE"/>
        </w:rPr>
        <w:t xml:space="preserve">s pour </w:t>
      </w:r>
      <w:r>
        <w:rPr>
          <w:lang w:val="fr-BE"/>
        </w:rPr>
        <w:t>étudier</w:t>
      </w:r>
      <w:r w:rsidR="004960BE" w:rsidRPr="004960BE">
        <w:rPr>
          <w:lang w:val="fr-BE"/>
        </w:rPr>
        <w:t xml:space="preserve"> les facteurs </w:t>
      </w:r>
      <w:r>
        <w:rPr>
          <w:lang w:val="fr-BE"/>
        </w:rPr>
        <w:t>explicatifs de</w:t>
      </w:r>
      <w:r w:rsidR="004960BE" w:rsidRPr="004960BE">
        <w:rPr>
          <w:lang w:val="fr-BE"/>
        </w:rPr>
        <w:t xml:space="preserve"> ces événements.</w:t>
      </w:r>
    </w:p>
    <w:p w:rsidR="00165180" w:rsidRDefault="00165180" w:rsidP="004960BE">
      <w:pPr>
        <w:spacing w:after="0" w:line="240" w:lineRule="auto"/>
        <w:jc w:val="both"/>
        <w:rPr>
          <w:lang w:val="fr-BE"/>
        </w:rPr>
      </w:pPr>
    </w:p>
    <w:p w:rsidR="00042E49" w:rsidRDefault="00042E49" w:rsidP="00042E49">
      <w:pPr>
        <w:spacing w:after="0" w:line="240" w:lineRule="auto"/>
        <w:jc w:val="both"/>
        <w:rPr>
          <w:b/>
          <w:lang w:val="fr-BE"/>
        </w:rPr>
      </w:pPr>
      <w:r w:rsidRPr="00042E49">
        <w:rPr>
          <w:b/>
          <w:lang w:val="fr-BE"/>
        </w:rPr>
        <w:t>Résultats préliminaires</w:t>
      </w:r>
    </w:p>
    <w:p w:rsidR="00042E49" w:rsidRPr="00042E49" w:rsidRDefault="00042E49" w:rsidP="00042E49">
      <w:pPr>
        <w:spacing w:after="0" w:line="240" w:lineRule="auto"/>
        <w:jc w:val="both"/>
        <w:rPr>
          <w:b/>
          <w:lang w:val="fr-BE"/>
        </w:rPr>
      </w:pPr>
    </w:p>
    <w:p w:rsidR="00042E49" w:rsidRPr="00042E49" w:rsidRDefault="00042E49" w:rsidP="00042E49">
      <w:pPr>
        <w:spacing w:after="0" w:line="240" w:lineRule="auto"/>
        <w:jc w:val="both"/>
        <w:rPr>
          <w:lang w:val="fr-BE"/>
        </w:rPr>
      </w:pPr>
      <w:r w:rsidRPr="00042E49">
        <w:rPr>
          <w:lang w:val="fr-BE"/>
        </w:rPr>
        <w:t>Des analyses descriptives indiquent qu</w:t>
      </w:r>
      <w:r>
        <w:rPr>
          <w:lang w:val="fr-BE"/>
        </w:rPr>
        <w:t xml:space="preserve">e le fait d’être ensemble tout en vivant </w:t>
      </w:r>
      <w:r w:rsidRPr="00042E49">
        <w:rPr>
          <w:lang w:val="fr-BE"/>
        </w:rPr>
        <w:t xml:space="preserve">séparément </w:t>
      </w:r>
      <w:r>
        <w:rPr>
          <w:lang w:val="fr-BE"/>
        </w:rPr>
        <w:t>n’</w:t>
      </w:r>
      <w:r w:rsidRPr="00042E49">
        <w:rPr>
          <w:lang w:val="fr-BE"/>
        </w:rPr>
        <w:t xml:space="preserve">est pas négligeable à Kinshasa. Parmi les 1367 </w:t>
      </w:r>
      <w:r>
        <w:rPr>
          <w:lang w:val="fr-BE"/>
        </w:rPr>
        <w:t>couples enregistré</w:t>
      </w:r>
      <w:r w:rsidRPr="00042E49">
        <w:rPr>
          <w:lang w:val="fr-BE"/>
        </w:rPr>
        <w:t>s dans l'ensemble de</w:t>
      </w:r>
      <w:r>
        <w:rPr>
          <w:lang w:val="fr-BE"/>
        </w:rPr>
        <w:t>s</w:t>
      </w:r>
      <w:r w:rsidRPr="00042E49">
        <w:rPr>
          <w:lang w:val="fr-BE"/>
        </w:rPr>
        <w:t xml:space="preserve"> données, 204 </w:t>
      </w:r>
      <w:r>
        <w:rPr>
          <w:lang w:val="fr-BE"/>
        </w:rPr>
        <w:t xml:space="preserve">n’avaient jamais </w:t>
      </w:r>
      <w:r w:rsidRPr="00042E49">
        <w:rPr>
          <w:lang w:val="fr-BE"/>
        </w:rPr>
        <w:t>cohabité au m</w:t>
      </w:r>
      <w:r>
        <w:rPr>
          <w:lang w:val="fr-BE"/>
        </w:rPr>
        <w:t>oment de l'enquête. Parmi les 1</w:t>
      </w:r>
      <w:r w:rsidRPr="00042E49">
        <w:rPr>
          <w:lang w:val="fr-BE"/>
        </w:rPr>
        <w:t xml:space="preserve">163 couples ayant cohabité, 202 </w:t>
      </w:r>
      <w:r>
        <w:rPr>
          <w:lang w:val="fr-BE"/>
        </w:rPr>
        <w:t>avaie</w:t>
      </w:r>
      <w:r w:rsidRPr="00042E49">
        <w:rPr>
          <w:lang w:val="fr-BE"/>
        </w:rPr>
        <w:t xml:space="preserve">nt cessé de vivre ensemble tout en restant </w:t>
      </w:r>
      <w:r>
        <w:rPr>
          <w:lang w:val="fr-BE"/>
        </w:rPr>
        <w:t>en couple</w:t>
      </w:r>
      <w:r w:rsidRPr="00042E49">
        <w:rPr>
          <w:lang w:val="fr-BE"/>
        </w:rPr>
        <w:t>.</w:t>
      </w:r>
    </w:p>
    <w:p w:rsidR="00165180" w:rsidRDefault="00042E49" w:rsidP="00042E49">
      <w:pPr>
        <w:spacing w:after="0" w:line="240" w:lineRule="auto"/>
        <w:jc w:val="both"/>
        <w:rPr>
          <w:lang w:val="fr-BE"/>
        </w:rPr>
      </w:pPr>
      <w:r>
        <w:rPr>
          <w:lang w:val="fr-BE"/>
        </w:rPr>
        <w:t>Le</w:t>
      </w:r>
      <w:r w:rsidRPr="00042E49">
        <w:rPr>
          <w:lang w:val="fr-BE"/>
        </w:rPr>
        <w:t>s comparai</w:t>
      </w:r>
      <w:r>
        <w:rPr>
          <w:lang w:val="fr-BE"/>
        </w:rPr>
        <w:t>sons des entrées en</w:t>
      </w:r>
      <w:r w:rsidRPr="00042E49">
        <w:rPr>
          <w:lang w:val="fr-BE"/>
        </w:rPr>
        <w:t xml:space="preserve"> cohabitation entre les cohortes montrent que les cohortes </w:t>
      </w:r>
      <w:r>
        <w:rPr>
          <w:lang w:val="fr-BE"/>
        </w:rPr>
        <w:t xml:space="preserve">plus </w:t>
      </w:r>
      <w:r w:rsidRPr="00042E49">
        <w:rPr>
          <w:lang w:val="fr-BE"/>
        </w:rPr>
        <w:t xml:space="preserve">récentes attendent plus longtemps </w:t>
      </w:r>
      <w:r>
        <w:rPr>
          <w:lang w:val="fr-BE"/>
        </w:rPr>
        <w:t>pour</w:t>
      </w:r>
      <w:r w:rsidRPr="00042E49">
        <w:rPr>
          <w:lang w:val="fr-BE"/>
        </w:rPr>
        <w:t xml:space="preserve"> commencer </w:t>
      </w:r>
      <w:r>
        <w:rPr>
          <w:lang w:val="fr-BE"/>
        </w:rPr>
        <w:t xml:space="preserve">à </w:t>
      </w:r>
      <w:r w:rsidRPr="00042E49">
        <w:rPr>
          <w:lang w:val="fr-BE"/>
        </w:rPr>
        <w:t>cohabite</w:t>
      </w:r>
      <w:r>
        <w:rPr>
          <w:lang w:val="fr-BE"/>
        </w:rPr>
        <w:t>r</w:t>
      </w:r>
      <w:r w:rsidRPr="00042E49">
        <w:rPr>
          <w:lang w:val="fr-BE"/>
        </w:rPr>
        <w:t xml:space="preserve"> et </w:t>
      </w:r>
      <w:r>
        <w:rPr>
          <w:lang w:val="fr-BE"/>
        </w:rPr>
        <w:t xml:space="preserve">qu’elles </w:t>
      </w:r>
      <w:r w:rsidRPr="00042E49">
        <w:rPr>
          <w:lang w:val="fr-BE"/>
        </w:rPr>
        <w:t>sont moins susceptibles de commencer à cohabiter</w:t>
      </w:r>
      <w:r>
        <w:rPr>
          <w:lang w:val="fr-BE"/>
        </w:rPr>
        <w:t xml:space="preserve"> que les autres cohortes</w:t>
      </w:r>
      <w:r w:rsidRPr="00042E49">
        <w:rPr>
          <w:lang w:val="fr-BE"/>
        </w:rPr>
        <w:t xml:space="preserve">. Dix ans après le début de l'union, un quart des couples </w:t>
      </w:r>
      <w:r w:rsidR="008E5F8B">
        <w:rPr>
          <w:lang w:val="fr-BE"/>
        </w:rPr>
        <w:t xml:space="preserve">de la cohorte la plus récente </w:t>
      </w:r>
      <w:r w:rsidRPr="00042E49">
        <w:rPr>
          <w:lang w:val="fr-BE"/>
        </w:rPr>
        <w:t>n</w:t>
      </w:r>
      <w:r>
        <w:rPr>
          <w:lang w:val="fr-BE"/>
        </w:rPr>
        <w:t>’a</w:t>
      </w:r>
      <w:r w:rsidRPr="00042E49">
        <w:rPr>
          <w:lang w:val="fr-BE"/>
        </w:rPr>
        <w:t xml:space="preserve"> </w:t>
      </w:r>
      <w:r w:rsidR="008E5F8B">
        <w:rPr>
          <w:lang w:val="fr-BE"/>
        </w:rPr>
        <w:t xml:space="preserve">pas </w:t>
      </w:r>
      <w:r w:rsidRPr="00042E49">
        <w:rPr>
          <w:lang w:val="fr-BE"/>
        </w:rPr>
        <w:t>encore vécu ensemble, contre moins de 10% dan</w:t>
      </w:r>
      <w:r>
        <w:rPr>
          <w:lang w:val="fr-BE"/>
        </w:rPr>
        <w:t xml:space="preserve">s les </w:t>
      </w:r>
      <w:r>
        <w:rPr>
          <w:lang w:val="fr-BE"/>
        </w:rPr>
        <w:lastRenderedPageBreak/>
        <w:t>cohortes les plus âgées. En outre, l</w:t>
      </w:r>
      <w:r w:rsidRPr="00042E49">
        <w:rPr>
          <w:lang w:val="fr-BE"/>
        </w:rPr>
        <w:t>es cohortes plus jeunes sont au</w:t>
      </w:r>
      <w:r>
        <w:rPr>
          <w:lang w:val="fr-BE"/>
        </w:rPr>
        <w:t xml:space="preserve">ssi plus susceptibles d'arrêter la </w:t>
      </w:r>
      <w:r w:rsidRPr="00042E49">
        <w:rPr>
          <w:lang w:val="fr-BE"/>
        </w:rPr>
        <w:t>cohabit</w:t>
      </w:r>
      <w:r>
        <w:rPr>
          <w:lang w:val="fr-BE"/>
        </w:rPr>
        <w:t>ation</w:t>
      </w:r>
      <w:r w:rsidR="008E5F8B">
        <w:rPr>
          <w:lang w:val="fr-BE"/>
        </w:rPr>
        <w:t xml:space="preserve"> alors qu’elles sont en couple</w:t>
      </w:r>
      <w:r>
        <w:rPr>
          <w:lang w:val="fr-BE"/>
        </w:rPr>
        <w:t xml:space="preserve"> </w:t>
      </w:r>
      <w:r w:rsidRPr="00042E49">
        <w:rPr>
          <w:lang w:val="fr-BE"/>
        </w:rPr>
        <w:t xml:space="preserve">: un quart des cohortes les plus récentes </w:t>
      </w:r>
      <w:r>
        <w:rPr>
          <w:lang w:val="fr-BE"/>
        </w:rPr>
        <w:t>ont cessé</w:t>
      </w:r>
      <w:r w:rsidRPr="00042E49">
        <w:rPr>
          <w:lang w:val="fr-BE"/>
        </w:rPr>
        <w:t xml:space="preserve"> de cohabiter après moins de 10 ans (figure 1).</w:t>
      </w:r>
    </w:p>
    <w:p w:rsidR="00042E49" w:rsidRDefault="00042E49" w:rsidP="00042E49">
      <w:pPr>
        <w:spacing w:after="0" w:line="240" w:lineRule="auto"/>
        <w:jc w:val="both"/>
        <w:rPr>
          <w:lang w:val="fr-BE"/>
        </w:rPr>
      </w:pPr>
    </w:p>
    <w:p w:rsidR="00042E49" w:rsidRPr="00042E49" w:rsidRDefault="00042E49" w:rsidP="00042E49">
      <w:pPr>
        <w:keepNext/>
        <w:keepLines/>
        <w:spacing w:line="240" w:lineRule="auto"/>
        <w:jc w:val="center"/>
        <w:rPr>
          <w:b/>
          <w:bCs/>
          <w:sz w:val="20"/>
          <w:szCs w:val="18"/>
          <w:lang w:val="fr-BE"/>
        </w:rPr>
      </w:pPr>
      <w:bookmarkStart w:id="1" w:name="_Ref424927961"/>
      <w:r w:rsidRPr="00042E49">
        <w:rPr>
          <w:b/>
          <w:bCs/>
          <w:sz w:val="20"/>
          <w:szCs w:val="18"/>
          <w:lang w:val="fr-BE"/>
        </w:rPr>
        <w:t xml:space="preserve">Figure </w:t>
      </w:r>
      <w:r w:rsidRPr="00042E49">
        <w:rPr>
          <w:b/>
          <w:bCs/>
          <w:sz w:val="20"/>
          <w:szCs w:val="18"/>
        </w:rPr>
        <w:fldChar w:fldCharType="begin"/>
      </w:r>
      <w:r w:rsidRPr="00042E49">
        <w:rPr>
          <w:b/>
          <w:bCs/>
          <w:sz w:val="20"/>
          <w:szCs w:val="18"/>
          <w:lang w:val="fr-BE"/>
        </w:rPr>
        <w:instrText xml:space="preserve"> SEQ Figure \* ARABIC </w:instrText>
      </w:r>
      <w:r w:rsidRPr="00042E49">
        <w:rPr>
          <w:b/>
          <w:bCs/>
          <w:sz w:val="20"/>
          <w:szCs w:val="18"/>
        </w:rPr>
        <w:fldChar w:fldCharType="separate"/>
      </w:r>
      <w:r w:rsidRPr="00042E49">
        <w:rPr>
          <w:b/>
          <w:bCs/>
          <w:noProof/>
          <w:sz w:val="20"/>
          <w:szCs w:val="18"/>
          <w:lang w:val="fr-BE"/>
        </w:rPr>
        <w:t>1</w:t>
      </w:r>
      <w:r w:rsidRPr="00042E49">
        <w:rPr>
          <w:b/>
          <w:bCs/>
          <w:sz w:val="20"/>
          <w:szCs w:val="18"/>
        </w:rPr>
        <w:fldChar w:fldCharType="end"/>
      </w:r>
      <w:bookmarkEnd w:id="1"/>
      <w:r w:rsidRPr="00042E49">
        <w:rPr>
          <w:b/>
          <w:bCs/>
          <w:sz w:val="20"/>
          <w:szCs w:val="18"/>
          <w:lang w:val="fr-BE"/>
        </w:rPr>
        <w:t>: Estimations de Kaplan-Meier sur l’entrée et la sortie de cohabitation parmi les couples en union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96"/>
      </w:tblGrid>
      <w:tr w:rsidR="00042E49" w:rsidRPr="00042E49" w:rsidTr="00405F2D">
        <w:tc>
          <w:tcPr>
            <w:tcW w:w="4583" w:type="dxa"/>
          </w:tcPr>
          <w:p w:rsidR="00042E49" w:rsidRPr="00042E49" w:rsidRDefault="00042E49" w:rsidP="00042E49">
            <w:pPr>
              <w:keepNext/>
              <w:keepLines/>
              <w:numPr>
                <w:ilvl w:val="0"/>
                <w:numId w:val="1"/>
              </w:numPr>
              <w:contextualSpacing/>
              <w:jc w:val="center"/>
            </w:pPr>
            <w:r>
              <w:t>Entrées</w:t>
            </w:r>
          </w:p>
          <w:p w:rsidR="00042E49" w:rsidRPr="00042E49" w:rsidRDefault="00042E49" w:rsidP="00042E49">
            <w:pPr>
              <w:keepNext/>
              <w:keepLines/>
              <w:jc w:val="center"/>
            </w:pPr>
            <w:r w:rsidRPr="00042E49">
              <w:rPr>
                <w:noProof/>
                <w:lang w:eastAsia="en-GB"/>
              </w:rPr>
              <w:drawing>
                <wp:inline distT="0" distB="0" distL="0" distR="0" wp14:anchorId="3FAD257F" wp14:editId="708446D6">
                  <wp:extent cx="2584800" cy="1864800"/>
                  <wp:effectExtent l="0" t="0" r="6350" b="2540"/>
                  <wp:docPr id="1" name="Espace réservé du contenu 1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2" name="Espace réservé du contenu 11"/>
                          <pic:cNvPicPr>
                            <a:picLocks noGr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4800" cy="1864800"/>
                          </a:xfrm>
                          <a:prstGeom prst="rect">
                            <a:avLst/>
                          </a:prstGeom>
                          <a:noFill/>
                          <a:ln>
                            <a:noFill/>
                          </a:ln>
                        </pic:spPr>
                      </pic:pic>
                    </a:graphicData>
                  </a:graphic>
                </wp:inline>
              </w:drawing>
            </w:r>
          </w:p>
        </w:tc>
        <w:tc>
          <w:tcPr>
            <w:tcW w:w="4583" w:type="dxa"/>
          </w:tcPr>
          <w:p w:rsidR="00042E49" w:rsidRPr="00042E49" w:rsidRDefault="00042E49" w:rsidP="00042E49">
            <w:pPr>
              <w:keepNext/>
              <w:keepLines/>
              <w:numPr>
                <w:ilvl w:val="0"/>
                <w:numId w:val="1"/>
              </w:numPr>
              <w:contextualSpacing/>
              <w:jc w:val="center"/>
            </w:pPr>
            <w:r>
              <w:t>Sorties</w:t>
            </w:r>
          </w:p>
          <w:p w:rsidR="00042E49" w:rsidRPr="00042E49" w:rsidRDefault="00042E49" w:rsidP="00042E49">
            <w:pPr>
              <w:keepNext/>
              <w:keepLines/>
              <w:ind w:left="360"/>
              <w:jc w:val="center"/>
            </w:pPr>
            <w:r w:rsidRPr="00042E49">
              <w:rPr>
                <w:noProof/>
                <w:lang w:eastAsia="en-GB"/>
              </w:rPr>
              <w:drawing>
                <wp:inline distT="0" distB="0" distL="0" distR="0" wp14:anchorId="1D9E6772" wp14:editId="60F342E0">
                  <wp:extent cx="2548800" cy="1868400"/>
                  <wp:effectExtent l="0" t="0" r="4445" b="0"/>
                  <wp:docPr id="2" name="Espace réservé du contenu 9"/>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Espace réservé du contenu 9"/>
                          <pic:cNvPicPr>
                            <a:picLocks noGr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8800" cy="1868400"/>
                          </a:xfrm>
                          <a:prstGeom prst="rect">
                            <a:avLst/>
                          </a:prstGeom>
                          <a:noFill/>
                          <a:ln>
                            <a:noFill/>
                          </a:ln>
                        </pic:spPr>
                      </pic:pic>
                    </a:graphicData>
                  </a:graphic>
                </wp:inline>
              </w:drawing>
            </w:r>
          </w:p>
        </w:tc>
      </w:tr>
    </w:tbl>
    <w:p w:rsidR="00042E49" w:rsidRDefault="00042E49" w:rsidP="00042E49">
      <w:pPr>
        <w:spacing w:after="0" w:line="240" w:lineRule="auto"/>
        <w:jc w:val="both"/>
        <w:rPr>
          <w:lang w:val="fr-BE"/>
        </w:rPr>
      </w:pPr>
    </w:p>
    <w:p w:rsidR="008E5F8B" w:rsidRDefault="008E5F8B" w:rsidP="008E5F8B">
      <w:pPr>
        <w:spacing w:after="0" w:line="240" w:lineRule="auto"/>
        <w:jc w:val="both"/>
        <w:rPr>
          <w:lang w:val="fr-FR"/>
        </w:rPr>
      </w:pPr>
      <w:r>
        <w:rPr>
          <w:rStyle w:val="hps"/>
          <w:lang w:val="fr-FR"/>
        </w:rPr>
        <w:t>Des analyses multivariées</w:t>
      </w:r>
      <w:r>
        <w:rPr>
          <w:lang w:val="fr-FR"/>
        </w:rPr>
        <w:t xml:space="preserve"> </w:t>
      </w:r>
      <w:r>
        <w:rPr>
          <w:rStyle w:val="hps"/>
          <w:lang w:val="fr-FR"/>
        </w:rPr>
        <w:t>(modèles d’analyse biographique</w:t>
      </w:r>
      <w:r w:rsidRPr="008E5F8B">
        <w:rPr>
          <w:rStyle w:val="hps"/>
          <w:lang w:val="fr-BE"/>
        </w:rPr>
        <w:t xml:space="preserve">) </w:t>
      </w:r>
      <w:r w:rsidR="00FE6DD4">
        <w:rPr>
          <w:rStyle w:val="hps"/>
          <w:lang w:val="fr-BE"/>
        </w:rPr>
        <w:t xml:space="preserve">sur l’entrée en couple </w:t>
      </w:r>
      <w:r>
        <w:rPr>
          <w:rStyle w:val="hps"/>
          <w:lang w:val="fr-FR"/>
        </w:rPr>
        <w:t>confirment la diminution</w:t>
      </w:r>
      <w:r>
        <w:rPr>
          <w:lang w:val="fr-FR"/>
        </w:rPr>
        <w:t xml:space="preserve"> </w:t>
      </w:r>
      <w:r>
        <w:rPr>
          <w:rStyle w:val="hps"/>
          <w:lang w:val="fr-FR"/>
        </w:rPr>
        <w:t>significative</w:t>
      </w:r>
      <w:r>
        <w:rPr>
          <w:lang w:val="fr-FR"/>
        </w:rPr>
        <w:t xml:space="preserve"> </w:t>
      </w:r>
      <w:r>
        <w:rPr>
          <w:rStyle w:val="hps"/>
          <w:lang w:val="fr-FR"/>
        </w:rPr>
        <w:t>de la cohabitation</w:t>
      </w:r>
      <w:r>
        <w:rPr>
          <w:lang w:val="fr-FR"/>
        </w:rPr>
        <w:t xml:space="preserve"> </w:t>
      </w:r>
      <w:r>
        <w:rPr>
          <w:rStyle w:val="hps"/>
          <w:lang w:val="fr-FR"/>
        </w:rPr>
        <w:t>entre les cohortes, et montrent que les conditions économiques</w:t>
      </w:r>
      <w:r>
        <w:rPr>
          <w:lang w:val="fr-FR"/>
        </w:rPr>
        <w:t xml:space="preserve"> </w:t>
      </w:r>
      <w:r>
        <w:rPr>
          <w:rStyle w:val="hps"/>
          <w:lang w:val="fr-FR"/>
        </w:rPr>
        <w:t>sont également</w:t>
      </w:r>
      <w:r>
        <w:rPr>
          <w:lang w:val="fr-FR"/>
        </w:rPr>
        <w:t xml:space="preserve"> </w:t>
      </w:r>
      <w:r>
        <w:rPr>
          <w:rStyle w:val="hps"/>
          <w:lang w:val="fr-FR"/>
        </w:rPr>
        <w:t>significativement liés à</w:t>
      </w:r>
      <w:r>
        <w:rPr>
          <w:lang w:val="fr-FR"/>
        </w:rPr>
        <w:t xml:space="preserve"> </w:t>
      </w:r>
      <w:r>
        <w:rPr>
          <w:rStyle w:val="hps"/>
          <w:lang w:val="fr-FR"/>
        </w:rPr>
        <w:t>l'entrée en</w:t>
      </w:r>
      <w:r>
        <w:rPr>
          <w:lang w:val="fr-FR"/>
        </w:rPr>
        <w:t xml:space="preserve"> </w:t>
      </w:r>
      <w:r>
        <w:rPr>
          <w:rStyle w:val="hps"/>
          <w:lang w:val="fr-FR"/>
        </w:rPr>
        <w:t>cohabitation</w:t>
      </w:r>
      <w:r>
        <w:rPr>
          <w:lang w:val="fr-FR"/>
        </w:rPr>
        <w:t xml:space="preserve">: les </w:t>
      </w:r>
      <w:r>
        <w:rPr>
          <w:rStyle w:val="hps"/>
          <w:lang w:val="fr-FR"/>
        </w:rPr>
        <w:t>employés</w:t>
      </w:r>
      <w:r>
        <w:rPr>
          <w:lang w:val="fr-FR"/>
        </w:rPr>
        <w:t xml:space="preserve"> </w:t>
      </w:r>
      <w:r>
        <w:rPr>
          <w:rStyle w:val="hps"/>
          <w:lang w:val="fr-FR"/>
        </w:rPr>
        <w:t>et les personnes</w:t>
      </w:r>
      <w:r>
        <w:rPr>
          <w:lang w:val="fr-FR"/>
        </w:rPr>
        <w:t xml:space="preserve"> déclarant avoir</w:t>
      </w:r>
      <w:r>
        <w:rPr>
          <w:rStyle w:val="hps"/>
          <w:lang w:val="fr-FR"/>
        </w:rPr>
        <w:t xml:space="preserve"> des</w:t>
      </w:r>
      <w:r>
        <w:rPr>
          <w:lang w:val="fr-FR"/>
        </w:rPr>
        <w:t xml:space="preserve"> </w:t>
      </w:r>
      <w:r>
        <w:rPr>
          <w:rStyle w:val="hps"/>
          <w:lang w:val="fr-FR"/>
        </w:rPr>
        <w:t>conditions de vie</w:t>
      </w:r>
      <w:r>
        <w:rPr>
          <w:lang w:val="fr-FR"/>
        </w:rPr>
        <w:t xml:space="preserve"> </w:t>
      </w:r>
      <w:r>
        <w:rPr>
          <w:rStyle w:val="hps"/>
          <w:lang w:val="fr-FR"/>
        </w:rPr>
        <w:t>suffisantes</w:t>
      </w:r>
      <w:r>
        <w:rPr>
          <w:lang w:val="fr-FR"/>
        </w:rPr>
        <w:t xml:space="preserve"> </w:t>
      </w:r>
      <w:r>
        <w:rPr>
          <w:rStyle w:val="hps"/>
          <w:lang w:val="fr-FR"/>
        </w:rPr>
        <w:t>commencent</w:t>
      </w:r>
      <w:r>
        <w:rPr>
          <w:lang w:val="fr-FR"/>
        </w:rPr>
        <w:t xml:space="preserve"> </w:t>
      </w:r>
      <w:r>
        <w:rPr>
          <w:lang w:val="fr-BE"/>
        </w:rPr>
        <w:t xml:space="preserve">à </w:t>
      </w:r>
      <w:r>
        <w:rPr>
          <w:rStyle w:val="hps"/>
          <w:lang w:val="fr-FR"/>
        </w:rPr>
        <w:t>cohabiter bien avant les personnes qui</w:t>
      </w:r>
      <w:r>
        <w:rPr>
          <w:lang w:val="fr-FR"/>
        </w:rPr>
        <w:t xml:space="preserve"> </w:t>
      </w:r>
      <w:r>
        <w:rPr>
          <w:rStyle w:val="hps"/>
          <w:lang w:val="fr-FR"/>
        </w:rPr>
        <w:t>sont au chômage</w:t>
      </w:r>
      <w:r>
        <w:rPr>
          <w:lang w:val="fr-FR"/>
        </w:rPr>
        <w:t xml:space="preserve"> </w:t>
      </w:r>
      <w:r>
        <w:rPr>
          <w:rStyle w:val="hps"/>
          <w:lang w:val="fr-FR"/>
        </w:rPr>
        <w:t>et celles qui déclarent vivre dans des conditions plus difficiles</w:t>
      </w:r>
      <w:r>
        <w:rPr>
          <w:lang w:val="fr-FR"/>
        </w:rPr>
        <w:t>.</w:t>
      </w:r>
    </w:p>
    <w:p w:rsidR="008E5F8B" w:rsidRDefault="008E5F8B" w:rsidP="008E5F8B">
      <w:pPr>
        <w:spacing w:after="0" w:line="240" w:lineRule="auto"/>
        <w:jc w:val="both"/>
        <w:rPr>
          <w:lang w:val="fr-FR"/>
        </w:rPr>
      </w:pPr>
    </w:p>
    <w:p w:rsidR="008E5F8B" w:rsidRPr="008E5F8B" w:rsidRDefault="00FE6DD4" w:rsidP="008E5F8B">
      <w:pPr>
        <w:spacing w:after="0" w:line="240" w:lineRule="auto"/>
        <w:jc w:val="both"/>
        <w:rPr>
          <w:lang w:val="fr-FR"/>
        </w:rPr>
      </w:pPr>
      <w:r>
        <w:rPr>
          <w:lang w:val="fr-BE"/>
        </w:rPr>
        <w:t>Concernant la décohabitation des couples, les analyses multivariées révèlent que l</w:t>
      </w:r>
      <w:r w:rsidR="008E5F8B" w:rsidRPr="008E5F8B">
        <w:rPr>
          <w:lang w:val="fr-BE"/>
        </w:rPr>
        <w:t>es conditions de vie ont également un effet</w:t>
      </w:r>
      <w:r>
        <w:rPr>
          <w:lang w:val="fr-BE"/>
        </w:rPr>
        <w:t xml:space="preserve"> </w:t>
      </w:r>
      <w:r w:rsidRPr="00FE6DD4">
        <w:rPr>
          <w:lang w:val="fr-BE"/>
        </w:rPr>
        <w:t>: les</w:t>
      </w:r>
      <w:r w:rsidR="008E5F8B" w:rsidRPr="008E5F8B">
        <w:rPr>
          <w:lang w:val="fr-BE"/>
        </w:rPr>
        <w:t xml:space="preserve"> personnes déclarant plus de conditions économiques suffisantes sont beaucoup moins susceptibles de cesser de cohabiter </w:t>
      </w:r>
      <w:r>
        <w:rPr>
          <w:lang w:val="fr-BE"/>
        </w:rPr>
        <w:t xml:space="preserve">par rapport à celles qui disent être </w:t>
      </w:r>
      <w:r w:rsidR="008E5F8B" w:rsidRPr="008E5F8B">
        <w:rPr>
          <w:lang w:val="fr-BE"/>
        </w:rPr>
        <w:t>confronté</w:t>
      </w:r>
      <w:r>
        <w:rPr>
          <w:lang w:val="fr-BE"/>
        </w:rPr>
        <w:t>e</w:t>
      </w:r>
      <w:r w:rsidR="008E5F8B" w:rsidRPr="008E5F8B">
        <w:rPr>
          <w:lang w:val="fr-BE"/>
        </w:rPr>
        <w:t>s à des conditions</w:t>
      </w:r>
      <w:r>
        <w:rPr>
          <w:lang w:val="fr-BE"/>
        </w:rPr>
        <w:t xml:space="preserve"> de vie insuffisantes. Les effets de c</w:t>
      </w:r>
      <w:r w:rsidR="008E5F8B" w:rsidRPr="008E5F8B">
        <w:rPr>
          <w:lang w:val="fr-BE"/>
        </w:rPr>
        <w:t>ohortes sont également très significatif</w:t>
      </w:r>
      <w:r>
        <w:rPr>
          <w:lang w:val="fr-BE"/>
        </w:rPr>
        <w:t>s, ce qui indique que l</w:t>
      </w:r>
      <w:r w:rsidR="008E5F8B" w:rsidRPr="008E5F8B">
        <w:rPr>
          <w:lang w:val="fr-BE"/>
        </w:rPr>
        <w:t xml:space="preserve">e phénomène </w:t>
      </w:r>
      <w:r>
        <w:rPr>
          <w:lang w:val="fr-BE"/>
        </w:rPr>
        <w:t xml:space="preserve">de décohabitation des couples </w:t>
      </w:r>
      <w:r w:rsidR="008E5F8B" w:rsidRPr="008E5F8B">
        <w:rPr>
          <w:lang w:val="fr-BE"/>
        </w:rPr>
        <w:t xml:space="preserve">a augmenté </w:t>
      </w:r>
      <w:r>
        <w:rPr>
          <w:lang w:val="fr-BE"/>
        </w:rPr>
        <w:t>avec le</w:t>
      </w:r>
      <w:r w:rsidR="008E5F8B" w:rsidRPr="008E5F8B">
        <w:rPr>
          <w:lang w:val="fr-BE"/>
        </w:rPr>
        <w:t xml:space="preserve"> temps, même </w:t>
      </w:r>
      <w:r>
        <w:rPr>
          <w:lang w:val="fr-BE"/>
        </w:rPr>
        <w:t>lorsque l’on contrôle</w:t>
      </w:r>
      <w:r w:rsidR="008E5F8B" w:rsidRPr="008E5F8B">
        <w:rPr>
          <w:lang w:val="fr-BE"/>
        </w:rPr>
        <w:t xml:space="preserve"> les facteurs économiques. Ce changement résulte donc en partie des difficultés économiques, mais reflète </w:t>
      </w:r>
      <w:r w:rsidRPr="008E5F8B">
        <w:rPr>
          <w:lang w:val="fr-BE"/>
        </w:rPr>
        <w:t xml:space="preserve">aussi </w:t>
      </w:r>
      <w:r w:rsidR="008E5F8B" w:rsidRPr="008E5F8B">
        <w:rPr>
          <w:lang w:val="fr-BE"/>
        </w:rPr>
        <w:t>probablement des changements sociaux plus larges à Kinshasa.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6"/>
      </w:tblGrid>
      <w:tr w:rsidR="008E5F8B" w:rsidRPr="008E5F8B" w:rsidTr="00405F2D">
        <w:tc>
          <w:tcPr>
            <w:tcW w:w="9166" w:type="dxa"/>
          </w:tcPr>
          <w:p w:rsidR="008E5F8B" w:rsidRDefault="008E5F8B" w:rsidP="00405F2D">
            <w:pPr>
              <w:jc w:val="both"/>
              <w:rPr>
                <w:lang w:val="fr-BE"/>
              </w:rPr>
            </w:pPr>
          </w:p>
          <w:p w:rsidR="00FE6DD4" w:rsidRDefault="00FE6DD4" w:rsidP="00FE6DD4">
            <w:pPr>
              <w:jc w:val="both"/>
              <w:rPr>
                <w:b/>
                <w:lang w:val="en-US"/>
              </w:rPr>
            </w:pPr>
            <w:r>
              <w:rPr>
                <w:b/>
                <w:lang w:val="en-US"/>
              </w:rPr>
              <w:t>References</w:t>
            </w:r>
          </w:p>
          <w:p w:rsidR="00FE6DD4" w:rsidRDefault="00FE6DD4" w:rsidP="00FE6DD4">
            <w:pPr>
              <w:jc w:val="both"/>
              <w:rPr>
                <w:b/>
                <w:lang w:val="en-US"/>
              </w:rPr>
            </w:pPr>
          </w:p>
          <w:p w:rsidR="00FE6DD4" w:rsidRPr="00566757" w:rsidRDefault="00FE6DD4" w:rsidP="00FE6DD4">
            <w:pPr>
              <w:spacing w:after="100"/>
              <w:jc w:val="both"/>
              <w:rPr>
                <w:noProof/>
                <w:lang w:val="en-US" w:eastAsia="fr-BE"/>
              </w:rPr>
            </w:pPr>
            <w:proofErr w:type="spellStart"/>
            <w:r>
              <w:t>Beauchemin</w:t>
            </w:r>
            <w:proofErr w:type="spellEnd"/>
            <w:r>
              <w:t xml:space="preserve">, C. (2015, forthcoming). “Migrations between Africa and Europe: Rationale for a Survey Design”. </w:t>
            </w:r>
            <w:r w:rsidRPr="00566757">
              <w:rPr>
                <w:i/>
              </w:rPr>
              <w:t>Population</w:t>
            </w:r>
            <w:r>
              <w:t>.</w:t>
            </w:r>
          </w:p>
          <w:p w:rsidR="00FE6DD4" w:rsidRPr="001F0920" w:rsidRDefault="00FE6DD4" w:rsidP="00FE6DD4">
            <w:pPr>
              <w:spacing w:after="100"/>
              <w:jc w:val="both"/>
              <w:rPr>
                <w:noProof/>
                <w:lang w:val="fr-BE" w:eastAsia="fr-BE"/>
              </w:rPr>
            </w:pPr>
            <w:r w:rsidRPr="001F0920">
              <w:rPr>
                <w:noProof/>
                <w:lang w:val="en-US" w:eastAsia="fr-BE"/>
              </w:rPr>
              <w:t xml:space="preserve">Beauchemin, Cris, Jocelyn Nappa, Bruno Schoumaker, et al. </w:t>
            </w:r>
            <w:r w:rsidRPr="00604395">
              <w:rPr>
                <w:noProof/>
                <w:lang w:val="en-US" w:eastAsia="fr-BE"/>
              </w:rPr>
              <w:t>(2015), « Reunifying Versus Living Apart Together Across Borders: A Comparative Analysis of Sub-Saharan Migration to Europe</w:t>
            </w:r>
            <w:r>
              <w:rPr>
                <w:noProof/>
                <w:lang w:val="en-US" w:eastAsia="fr-BE"/>
              </w:rPr>
              <w:t>”</w:t>
            </w:r>
            <w:r w:rsidRPr="00604395">
              <w:rPr>
                <w:noProof/>
                <w:lang w:val="en-US" w:eastAsia="fr-BE"/>
              </w:rPr>
              <w:t xml:space="preserve">. </w:t>
            </w:r>
            <w:r w:rsidRPr="001F0920">
              <w:rPr>
                <w:i/>
                <w:noProof/>
                <w:lang w:val="fr-BE" w:eastAsia="fr-BE"/>
              </w:rPr>
              <w:t>International Migration Review</w:t>
            </w:r>
            <w:r w:rsidRPr="001F0920">
              <w:rPr>
                <w:noProof/>
                <w:lang w:val="fr-BE" w:eastAsia="fr-BE"/>
              </w:rPr>
              <w:t xml:space="preserve"> 49(1): 173–199.</w:t>
            </w:r>
          </w:p>
          <w:p w:rsidR="00FE6DD4" w:rsidRDefault="00FE6DD4" w:rsidP="00FE6DD4">
            <w:pPr>
              <w:spacing w:after="100"/>
              <w:jc w:val="both"/>
              <w:rPr>
                <w:noProof/>
                <w:lang w:val="fr-BE" w:eastAsia="fr-BE"/>
              </w:rPr>
            </w:pPr>
            <w:r w:rsidRPr="00604395">
              <w:rPr>
                <w:noProof/>
                <w:lang w:val="fr-BE" w:eastAsia="fr-BE"/>
              </w:rPr>
              <w:t xml:space="preserve">Diagne A. and Lessault D. (2007), </w:t>
            </w:r>
            <w:r w:rsidRPr="00604395">
              <w:rPr>
                <w:i/>
                <w:noProof/>
                <w:lang w:val="fr-BE" w:eastAsia="fr-BE"/>
              </w:rPr>
              <w:t>Emancipation résidentielle différée et recomposition des dépendances intergénérationnelles à Dakar</w:t>
            </w:r>
            <w:r w:rsidRPr="00604395">
              <w:rPr>
                <w:noProof/>
                <w:lang w:val="fr-BE" w:eastAsia="fr-BE"/>
              </w:rPr>
              <w:t xml:space="preserve">, </w:t>
            </w:r>
            <w:r>
              <w:rPr>
                <w:noProof/>
                <w:lang w:val="fr-BE" w:eastAsia="fr-BE"/>
              </w:rPr>
              <w:t>CEPED, Paris.</w:t>
            </w:r>
          </w:p>
          <w:p w:rsidR="00FE6DD4" w:rsidRDefault="00FE6DD4" w:rsidP="00FE6DD4">
            <w:pPr>
              <w:spacing w:after="100"/>
              <w:jc w:val="both"/>
              <w:rPr>
                <w:noProof/>
                <w:lang w:val="en-US" w:eastAsia="fr-BE"/>
              </w:rPr>
            </w:pPr>
            <w:r w:rsidRPr="00D045F8">
              <w:rPr>
                <w:noProof/>
                <w:lang w:val="en-US" w:eastAsia="fr-BE"/>
              </w:rPr>
              <w:t xml:space="preserve">Findley, Sally (1997), </w:t>
            </w:r>
            <w:r>
              <w:rPr>
                <w:noProof/>
                <w:lang w:val="en-US" w:eastAsia="fr-BE"/>
              </w:rPr>
              <w:t>“</w:t>
            </w:r>
            <w:r w:rsidRPr="00624BE4">
              <w:rPr>
                <w:noProof/>
                <w:lang w:val="en-US" w:eastAsia="fr-BE"/>
              </w:rPr>
              <w:t>Migration and family interactions in Africa</w:t>
            </w:r>
            <w:r>
              <w:rPr>
                <w:noProof/>
                <w:lang w:val="en-US" w:eastAsia="fr-BE"/>
              </w:rPr>
              <w:t xml:space="preserve">” in </w:t>
            </w:r>
            <w:r w:rsidRPr="00624BE4">
              <w:rPr>
                <w:noProof/>
                <w:lang w:val="en-US" w:eastAsia="fr-BE"/>
              </w:rPr>
              <w:t xml:space="preserve">Adepoju </w:t>
            </w:r>
            <w:r>
              <w:rPr>
                <w:noProof/>
                <w:lang w:val="en-US" w:eastAsia="fr-BE"/>
              </w:rPr>
              <w:t xml:space="preserve">A. (ed), </w:t>
            </w:r>
            <w:r w:rsidRPr="00624BE4">
              <w:rPr>
                <w:i/>
                <w:noProof/>
                <w:lang w:val="en-US" w:eastAsia="fr-BE"/>
              </w:rPr>
              <w:t>Family, population and development in Africa</w:t>
            </w:r>
            <w:r w:rsidRPr="00624BE4">
              <w:rPr>
                <w:noProof/>
                <w:lang w:val="en-US" w:eastAsia="fr-BE"/>
              </w:rPr>
              <w:t>, London, Zed Books, 109-</w:t>
            </w:r>
            <w:r>
              <w:rPr>
                <w:noProof/>
                <w:lang w:val="en-US" w:eastAsia="fr-BE"/>
              </w:rPr>
              <w:t>1</w:t>
            </w:r>
            <w:r w:rsidRPr="00624BE4">
              <w:rPr>
                <w:noProof/>
                <w:lang w:val="en-US" w:eastAsia="fr-BE"/>
              </w:rPr>
              <w:t>38.</w:t>
            </w:r>
          </w:p>
          <w:p w:rsidR="00FE6DD4" w:rsidRDefault="00FE6DD4" w:rsidP="00FE6DD4">
            <w:pPr>
              <w:spacing w:after="100"/>
              <w:jc w:val="both"/>
              <w:rPr>
                <w:noProof/>
                <w:lang w:val="fr-BE" w:eastAsia="fr-BE"/>
              </w:rPr>
            </w:pPr>
            <w:r>
              <w:rPr>
                <w:noProof/>
                <w:lang w:val="fr-BE" w:eastAsia="fr-BE"/>
              </w:rPr>
              <w:t>Ngondo A Pitshandenge (1996)</w:t>
            </w:r>
            <w:r w:rsidRPr="00604395">
              <w:rPr>
                <w:noProof/>
                <w:lang w:val="fr-BE" w:eastAsia="fr-BE"/>
              </w:rPr>
              <w:t xml:space="preserve">, « Nucléarisation du ménage biologique et renforcement du ménage social à Kinshasa », </w:t>
            </w:r>
            <w:r w:rsidRPr="00604395">
              <w:rPr>
                <w:i/>
                <w:noProof/>
                <w:lang w:val="fr-BE" w:eastAsia="fr-BE"/>
              </w:rPr>
              <w:t>Zaïre-Afrique</w:t>
            </w:r>
            <w:r w:rsidRPr="00604395">
              <w:rPr>
                <w:noProof/>
                <w:lang w:val="fr-BE" w:eastAsia="fr-BE"/>
              </w:rPr>
              <w:t xml:space="preserve"> 308 : 419- 444</w:t>
            </w:r>
            <w:r>
              <w:rPr>
                <w:noProof/>
                <w:lang w:val="fr-BE" w:eastAsia="fr-BE"/>
              </w:rPr>
              <w:t>.</w:t>
            </w:r>
          </w:p>
          <w:p w:rsidR="00FE6DD4" w:rsidRPr="001F0920" w:rsidRDefault="00FE6DD4" w:rsidP="00FE6DD4">
            <w:pPr>
              <w:spacing w:after="100"/>
              <w:jc w:val="both"/>
              <w:rPr>
                <w:noProof/>
                <w:lang w:val="fr-BE" w:eastAsia="fr-BE"/>
              </w:rPr>
            </w:pPr>
            <w:proofErr w:type="spellStart"/>
            <w:r>
              <w:t>Schoumaker</w:t>
            </w:r>
            <w:proofErr w:type="spellEnd"/>
            <w:r>
              <w:t xml:space="preserve">, B. and </w:t>
            </w:r>
            <w:proofErr w:type="spellStart"/>
            <w:r>
              <w:t>Mezger</w:t>
            </w:r>
            <w:proofErr w:type="spellEnd"/>
            <w:r>
              <w:t xml:space="preserve">, C. (2013). Sampling and Computation of Weights in the MAFE Surveys. </w:t>
            </w:r>
            <w:r w:rsidRPr="001F0920">
              <w:rPr>
                <w:lang w:val="fr-BE"/>
              </w:rPr>
              <w:t xml:space="preserve">Paris: INED (MAFE </w:t>
            </w:r>
            <w:proofErr w:type="spellStart"/>
            <w:r w:rsidRPr="001F0920">
              <w:rPr>
                <w:lang w:val="fr-BE"/>
              </w:rPr>
              <w:t>Methodological</w:t>
            </w:r>
            <w:proofErr w:type="spellEnd"/>
            <w:r w:rsidRPr="001F0920">
              <w:rPr>
                <w:lang w:val="fr-BE"/>
              </w:rPr>
              <w:t xml:space="preserve"> note 6).</w:t>
            </w:r>
          </w:p>
          <w:p w:rsidR="00FE6DD4" w:rsidRPr="008E5F8B" w:rsidRDefault="00FE6DD4" w:rsidP="004B2120">
            <w:pPr>
              <w:spacing w:after="100"/>
              <w:jc w:val="both"/>
              <w:rPr>
                <w:noProof/>
                <w:lang w:val="fr-BE" w:eastAsia="fr-BE"/>
              </w:rPr>
            </w:pPr>
            <w:r w:rsidRPr="00604395">
              <w:rPr>
                <w:noProof/>
                <w:lang w:val="fr-BE" w:eastAsia="fr-BE"/>
              </w:rPr>
              <w:t xml:space="preserve">Trefon, Theodore (2004), </w:t>
            </w:r>
            <w:r w:rsidRPr="00604395">
              <w:rPr>
                <w:i/>
                <w:noProof/>
                <w:lang w:val="fr-BE" w:eastAsia="fr-BE"/>
              </w:rPr>
              <w:t>Ordre et désordre à Kinshasa: réponses populaires à la faillite de l’état</w:t>
            </w:r>
            <w:r w:rsidRPr="00604395">
              <w:rPr>
                <w:noProof/>
                <w:lang w:val="fr-BE" w:eastAsia="fr-BE"/>
              </w:rPr>
              <w:t xml:space="preserve">. </w:t>
            </w:r>
            <w:r w:rsidRPr="00604395">
              <w:rPr>
                <w:noProof/>
                <w:lang w:val="fr-BE" w:eastAsia="fr-BE"/>
              </w:rPr>
              <w:lastRenderedPageBreak/>
              <w:t>M</w:t>
            </w:r>
            <w:r>
              <w:rPr>
                <w:noProof/>
                <w:lang w:val="fr-BE" w:eastAsia="fr-BE"/>
              </w:rPr>
              <w:t>usée royal de l’Afrique centrale, Bruxelles</w:t>
            </w:r>
            <w:r w:rsidRPr="00604395">
              <w:rPr>
                <w:noProof/>
                <w:lang w:val="fr-BE" w:eastAsia="fr-BE"/>
              </w:rPr>
              <w:t>.</w:t>
            </w:r>
          </w:p>
        </w:tc>
      </w:tr>
    </w:tbl>
    <w:p w:rsidR="008E5F8B" w:rsidRPr="004960BE" w:rsidRDefault="008E5F8B" w:rsidP="00042E49">
      <w:pPr>
        <w:spacing w:after="0" w:line="240" w:lineRule="auto"/>
        <w:jc w:val="both"/>
        <w:rPr>
          <w:lang w:val="fr-BE"/>
        </w:rPr>
      </w:pPr>
    </w:p>
    <w:sectPr w:rsidR="008E5F8B" w:rsidRPr="004960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13" w:rsidRDefault="00DD2713" w:rsidP="00DD2713">
      <w:pPr>
        <w:spacing w:after="0" w:line="240" w:lineRule="auto"/>
      </w:pPr>
      <w:r>
        <w:separator/>
      </w:r>
    </w:p>
  </w:endnote>
  <w:endnote w:type="continuationSeparator" w:id="0">
    <w:p w:rsidR="00DD2713" w:rsidRDefault="00DD2713" w:rsidP="00DD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13" w:rsidRDefault="00DD2713" w:rsidP="00DD2713">
      <w:pPr>
        <w:spacing w:after="0" w:line="240" w:lineRule="auto"/>
      </w:pPr>
      <w:r>
        <w:separator/>
      </w:r>
    </w:p>
  </w:footnote>
  <w:footnote w:type="continuationSeparator" w:id="0">
    <w:p w:rsidR="00DD2713" w:rsidRDefault="00DD2713" w:rsidP="00DD2713">
      <w:pPr>
        <w:spacing w:after="0" w:line="240" w:lineRule="auto"/>
      </w:pPr>
      <w:r>
        <w:continuationSeparator/>
      </w:r>
    </w:p>
  </w:footnote>
  <w:footnote w:id="1">
    <w:p w:rsidR="00DD2713" w:rsidRPr="00566757" w:rsidRDefault="00DD2713" w:rsidP="00DD2713">
      <w:pPr>
        <w:pStyle w:val="FootnoteText"/>
        <w:rPr>
          <w:lang w:val="fr-BE"/>
        </w:rPr>
      </w:pPr>
      <w:r w:rsidRPr="001F0920">
        <w:rPr>
          <w:rStyle w:val="FootnoteReference"/>
        </w:rPr>
        <w:footnoteRef/>
      </w:r>
      <w:r w:rsidRPr="001F0920">
        <w:rPr>
          <w:lang w:val="fr-BE"/>
        </w:rPr>
        <w:t xml:space="preserve"> </w:t>
      </w:r>
      <w:r>
        <w:rPr>
          <w:lang w:val="fr-BE"/>
        </w:rPr>
        <w:t xml:space="preserve">Université catholique de Louvain, </w:t>
      </w:r>
      <w:proofErr w:type="spellStart"/>
      <w:r>
        <w:rPr>
          <w:lang w:val="fr-BE"/>
        </w:rPr>
        <w:t>Belgium</w:t>
      </w:r>
      <w:proofErr w:type="spellEnd"/>
    </w:p>
  </w:footnote>
  <w:footnote w:id="2">
    <w:p w:rsidR="00DD2713" w:rsidRPr="00566757" w:rsidRDefault="00DD2713" w:rsidP="00DD2713">
      <w:pPr>
        <w:pStyle w:val="FootnoteText"/>
        <w:rPr>
          <w:lang w:val="fr-BE"/>
        </w:rPr>
      </w:pPr>
      <w:r w:rsidRPr="001F0920">
        <w:rPr>
          <w:rStyle w:val="FootnoteReference"/>
        </w:rPr>
        <w:footnoteRef/>
      </w:r>
      <w:r w:rsidRPr="00566757">
        <w:rPr>
          <w:lang w:val="fr-BE"/>
        </w:rPr>
        <w:t xml:space="preserve"> </w:t>
      </w:r>
      <w:r>
        <w:rPr>
          <w:lang w:val="fr-BE"/>
        </w:rPr>
        <w:t>Université Pédagogique Nationale, Kinshasa, DR Congo</w:t>
      </w:r>
    </w:p>
  </w:footnote>
  <w:footnote w:id="3">
    <w:p w:rsidR="00DD2713" w:rsidRPr="00566757" w:rsidRDefault="00DD2713" w:rsidP="00DD2713">
      <w:pPr>
        <w:pStyle w:val="FootnoteText"/>
        <w:rPr>
          <w:lang w:val="fr-BE"/>
        </w:rPr>
      </w:pPr>
      <w:r w:rsidRPr="001F0920">
        <w:rPr>
          <w:rStyle w:val="FootnoteReference"/>
        </w:rPr>
        <w:footnoteRef/>
      </w:r>
      <w:r>
        <w:t xml:space="preserve"> </w:t>
      </w:r>
      <w:proofErr w:type="spellStart"/>
      <w:r>
        <w:rPr>
          <w:lang w:val="fr-BE"/>
        </w:rPr>
        <w:t>University</w:t>
      </w:r>
      <w:proofErr w:type="spellEnd"/>
      <w:r>
        <w:rPr>
          <w:lang w:val="fr-BE"/>
        </w:rPr>
        <w:t xml:space="preserve"> of Oxford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95116"/>
    <w:multiLevelType w:val="hybridMultilevel"/>
    <w:tmpl w:val="A7C48F38"/>
    <w:lvl w:ilvl="0" w:tplc="29BECF92">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C"/>
    <w:rsid w:val="00042E49"/>
    <w:rsid w:val="00084271"/>
    <w:rsid w:val="001366F1"/>
    <w:rsid w:val="00165180"/>
    <w:rsid w:val="00196792"/>
    <w:rsid w:val="0028376E"/>
    <w:rsid w:val="002E69C9"/>
    <w:rsid w:val="003C5BCC"/>
    <w:rsid w:val="00425673"/>
    <w:rsid w:val="004960BE"/>
    <w:rsid w:val="004B2120"/>
    <w:rsid w:val="006D41BD"/>
    <w:rsid w:val="007022EE"/>
    <w:rsid w:val="008457E2"/>
    <w:rsid w:val="008E200D"/>
    <w:rsid w:val="008E5F8B"/>
    <w:rsid w:val="00AB2BBD"/>
    <w:rsid w:val="00AD69F8"/>
    <w:rsid w:val="00B05E2E"/>
    <w:rsid w:val="00BC59E9"/>
    <w:rsid w:val="00BE3D8B"/>
    <w:rsid w:val="00C06317"/>
    <w:rsid w:val="00CD1160"/>
    <w:rsid w:val="00D10DCF"/>
    <w:rsid w:val="00D904C3"/>
    <w:rsid w:val="00DD2713"/>
    <w:rsid w:val="00FE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49"/>
    <w:rPr>
      <w:rFonts w:ascii="Tahoma" w:hAnsi="Tahoma" w:cs="Tahoma"/>
      <w:sz w:val="16"/>
      <w:szCs w:val="16"/>
    </w:rPr>
  </w:style>
  <w:style w:type="character" w:customStyle="1" w:styleId="hps">
    <w:name w:val="hps"/>
    <w:basedOn w:val="DefaultParagraphFont"/>
    <w:rsid w:val="008E5F8B"/>
  </w:style>
  <w:style w:type="paragraph" w:styleId="Caption">
    <w:name w:val="caption"/>
    <w:basedOn w:val="Normal"/>
    <w:next w:val="Normal"/>
    <w:uiPriority w:val="35"/>
    <w:unhideWhenUsed/>
    <w:qFormat/>
    <w:rsid w:val="008E5F8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DD2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713"/>
    <w:rPr>
      <w:sz w:val="20"/>
      <w:szCs w:val="20"/>
    </w:rPr>
  </w:style>
  <w:style w:type="character" w:styleId="FootnoteReference">
    <w:name w:val="footnote reference"/>
    <w:basedOn w:val="DefaultParagraphFont"/>
    <w:uiPriority w:val="99"/>
    <w:semiHidden/>
    <w:unhideWhenUsed/>
    <w:rsid w:val="00DD27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49"/>
    <w:rPr>
      <w:rFonts w:ascii="Tahoma" w:hAnsi="Tahoma" w:cs="Tahoma"/>
      <w:sz w:val="16"/>
      <w:szCs w:val="16"/>
    </w:rPr>
  </w:style>
  <w:style w:type="character" w:customStyle="1" w:styleId="hps">
    <w:name w:val="hps"/>
    <w:basedOn w:val="DefaultParagraphFont"/>
    <w:rsid w:val="008E5F8B"/>
  </w:style>
  <w:style w:type="paragraph" w:styleId="Caption">
    <w:name w:val="caption"/>
    <w:basedOn w:val="Normal"/>
    <w:next w:val="Normal"/>
    <w:uiPriority w:val="35"/>
    <w:unhideWhenUsed/>
    <w:qFormat/>
    <w:rsid w:val="008E5F8B"/>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DD2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2713"/>
    <w:rPr>
      <w:sz w:val="20"/>
      <w:szCs w:val="20"/>
    </w:rPr>
  </w:style>
  <w:style w:type="character" w:styleId="FootnoteReference">
    <w:name w:val="footnote reference"/>
    <w:basedOn w:val="DefaultParagraphFont"/>
    <w:uiPriority w:val="99"/>
    <w:semiHidden/>
    <w:unhideWhenUsed/>
    <w:rsid w:val="00DD2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Marie-Laurence Flahaux</dc:creator>
  <cp:lastModifiedBy>Marie-Laurence Flahaux</cp:lastModifiedBy>
  <cp:revision>16</cp:revision>
  <dcterms:created xsi:type="dcterms:W3CDTF">2015-09-18T11:11:00Z</dcterms:created>
  <dcterms:modified xsi:type="dcterms:W3CDTF">2015-09-18T15:01:00Z</dcterms:modified>
</cp:coreProperties>
</file>