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9DEAB" w14:textId="77777777" w:rsidR="00695CDE" w:rsidRPr="00316D1A" w:rsidRDefault="001D10DF" w:rsidP="007D360C">
      <w:pPr>
        <w:jc w:val="center"/>
        <w:rPr>
          <w:rFonts w:asciiTheme="majorHAnsi" w:hAnsiTheme="majorHAnsi" w:cs="Times New Roman"/>
          <w:b/>
          <w:sz w:val="36"/>
          <w:szCs w:val="36"/>
          <w:lang w:val="en-GB"/>
        </w:rPr>
      </w:pPr>
      <w:r w:rsidRPr="00316D1A">
        <w:rPr>
          <w:rFonts w:asciiTheme="majorHAnsi" w:hAnsiTheme="majorHAnsi" w:cs="Times New Roman"/>
          <w:b/>
          <w:sz w:val="36"/>
          <w:szCs w:val="36"/>
          <w:lang w:val="en-GB"/>
        </w:rPr>
        <w:t xml:space="preserve">Trends </w:t>
      </w:r>
      <w:r w:rsidR="00695CDE" w:rsidRPr="00316D1A">
        <w:rPr>
          <w:rFonts w:asciiTheme="majorHAnsi" w:hAnsiTheme="majorHAnsi" w:cs="Times New Roman"/>
          <w:b/>
          <w:sz w:val="36"/>
          <w:szCs w:val="36"/>
          <w:lang w:val="en-GB"/>
        </w:rPr>
        <w:t xml:space="preserve">in </w:t>
      </w:r>
      <w:r w:rsidRPr="00316D1A">
        <w:rPr>
          <w:rFonts w:asciiTheme="majorHAnsi" w:hAnsiTheme="majorHAnsi" w:cs="Times New Roman"/>
          <w:b/>
          <w:sz w:val="36"/>
          <w:szCs w:val="36"/>
          <w:lang w:val="en-GB"/>
        </w:rPr>
        <w:t xml:space="preserve">living arrangements </w:t>
      </w:r>
      <w:r w:rsidR="007E05F9" w:rsidRPr="00316D1A">
        <w:rPr>
          <w:rFonts w:asciiTheme="majorHAnsi" w:hAnsiTheme="majorHAnsi" w:cs="Times New Roman"/>
          <w:b/>
          <w:sz w:val="36"/>
          <w:szCs w:val="36"/>
          <w:lang w:val="en-GB"/>
        </w:rPr>
        <w:t>of</w:t>
      </w:r>
      <w:r w:rsidRPr="00316D1A">
        <w:rPr>
          <w:rFonts w:asciiTheme="majorHAnsi" w:hAnsiTheme="majorHAnsi" w:cs="Times New Roman"/>
          <w:b/>
          <w:sz w:val="36"/>
          <w:szCs w:val="36"/>
          <w:lang w:val="en-GB"/>
        </w:rPr>
        <w:t xml:space="preserve"> Belgi</w:t>
      </w:r>
      <w:r w:rsidR="007E05F9" w:rsidRPr="00316D1A">
        <w:rPr>
          <w:rFonts w:asciiTheme="majorHAnsi" w:hAnsiTheme="majorHAnsi" w:cs="Times New Roman"/>
          <w:b/>
          <w:sz w:val="36"/>
          <w:szCs w:val="36"/>
          <w:lang w:val="en-GB"/>
        </w:rPr>
        <w:t>an elderly</w:t>
      </w:r>
      <w:r w:rsidR="00776F20" w:rsidRPr="00316D1A">
        <w:rPr>
          <w:rFonts w:asciiTheme="majorHAnsi" w:hAnsiTheme="majorHAnsi" w:cs="Times New Roman"/>
          <w:b/>
          <w:sz w:val="36"/>
          <w:szCs w:val="36"/>
          <w:lang w:val="en-GB"/>
        </w:rPr>
        <w:t xml:space="preserve"> </w:t>
      </w:r>
    </w:p>
    <w:p w14:paraId="51CA5D17" w14:textId="5881E6F9" w:rsidR="001D10DF" w:rsidRPr="00316D1A" w:rsidRDefault="00776F20" w:rsidP="007D360C">
      <w:pPr>
        <w:jc w:val="center"/>
        <w:rPr>
          <w:rFonts w:asciiTheme="majorHAnsi" w:hAnsiTheme="majorHAnsi" w:cs="Times New Roman"/>
          <w:b/>
          <w:sz w:val="36"/>
          <w:szCs w:val="36"/>
          <w:lang w:val="en-GB"/>
        </w:rPr>
      </w:pPr>
      <w:r w:rsidRPr="00316D1A">
        <w:rPr>
          <w:rFonts w:asciiTheme="majorHAnsi" w:hAnsiTheme="majorHAnsi" w:cs="Times New Roman"/>
          <w:b/>
          <w:sz w:val="36"/>
          <w:szCs w:val="36"/>
          <w:lang w:val="en-GB"/>
        </w:rPr>
        <w:t xml:space="preserve">and its impact on mortality </w:t>
      </w:r>
    </w:p>
    <w:p w14:paraId="0A86D091" w14:textId="77777777" w:rsidR="00DE0735" w:rsidRPr="005367E0" w:rsidRDefault="00DE0735" w:rsidP="007D360C">
      <w:pPr>
        <w:jc w:val="center"/>
        <w:rPr>
          <w:rFonts w:asciiTheme="majorHAnsi" w:hAnsiTheme="majorHAnsi" w:cs="Times New Roman"/>
          <w:b/>
          <w:sz w:val="28"/>
          <w:szCs w:val="28"/>
          <w:lang w:val="en-GB"/>
        </w:rPr>
      </w:pPr>
    </w:p>
    <w:p w14:paraId="24E7069C" w14:textId="7A106FFA" w:rsidR="001D10DF" w:rsidRPr="00316D1A" w:rsidRDefault="001D10DF" w:rsidP="007D360C">
      <w:pPr>
        <w:jc w:val="center"/>
        <w:rPr>
          <w:rFonts w:asciiTheme="majorHAnsi" w:hAnsiTheme="majorHAnsi" w:cs="Times New Roman"/>
          <w:b/>
          <w:i/>
          <w:sz w:val="28"/>
          <w:szCs w:val="28"/>
          <w:lang w:val="en-GB"/>
        </w:rPr>
      </w:pPr>
      <w:r w:rsidRPr="00316D1A">
        <w:rPr>
          <w:rFonts w:asciiTheme="majorHAnsi" w:hAnsiTheme="majorHAnsi" w:cs="Times New Roman"/>
          <w:b/>
          <w:i/>
          <w:sz w:val="28"/>
          <w:szCs w:val="28"/>
          <w:lang w:val="en-GB"/>
        </w:rPr>
        <w:t>Anne Herm, Luc Dal and Michel Poulain</w:t>
      </w:r>
    </w:p>
    <w:p w14:paraId="3DCF5866" w14:textId="77777777" w:rsidR="004F0268" w:rsidRPr="005367E0" w:rsidRDefault="004F0268" w:rsidP="007D360C">
      <w:pPr>
        <w:jc w:val="both"/>
        <w:rPr>
          <w:rFonts w:asciiTheme="majorHAnsi" w:hAnsiTheme="majorHAnsi" w:cs="Times New Roman"/>
          <w:b/>
          <w:sz w:val="28"/>
          <w:szCs w:val="28"/>
          <w:lang w:val="en-GB"/>
        </w:rPr>
      </w:pPr>
    </w:p>
    <w:p w14:paraId="4DF56583" w14:textId="5E8F62D4" w:rsidR="001D10DF" w:rsidRPr="005367E0" w:rsidRDefault="004F0268" w:rsidP="001E0703">
      <w:pPr>
        <w:jc w:val="both"/>
        <w:rPr>
          <w:rFonts w:asciiTheme="majorHAnsi" w:hAnsiTheme="majorHAnsi" w:cs="Times New Roman"/>
          <w:b/>
          <w:sz w:val="28"/>
          <w:szCs w:val="28"/>
          <w:lang w:val="en-GB"/>
        </w:rPr>
      </w:pPr>
      <w:r w:rsidRPr="005367E0">
        <w:rPr>
          <w:rFonts w:asciiTheme="majorHAnsi" w:hAnsiTheme="majorHAnsi" w:cs="Times New Roman"/>
          <w:b/>
          <w:sz w:val="28"/>
          <w:szCs w:val="28"/>
          <w:lang w:val="en-GB"/>
        </w:rPr>
        <w:t>Research questions</w:t>
      </w:r>
    </w:p>
    <w:p w14:paraId="570FBC05" w14:textId="76F11A4B" w:rsidR="009D541D" w:rsidRPr="005367E0" w:rsidRDefault="00E031F9" w:rsidP="00FE6A68">
      <w:pPr>
        <w:jc w:val="both"/>
        <w:rPr>
          <w:rFonts w:asciiTheme="majorHAnsi" w:hAnsiTheme="majorHAnsi" w:cs="Times New Roman"/>
          <w:lang w:val="en-GB"/>
        </w:rPr>
      </w:pPr>
      <w:r w:rsidRPr="005367E0">
        <w:rPr>
          <w:rFonts w:asciiTheme="majorHAnsi" w:hAnsiTheme="majorHAnsi" w:cs="Times New Roman"/>
          <w:lang w:val="en-GB"/>
        </w:rPr>
        <w:t>Beside age and sex, the</w:t>
      </w:r>
      <w:r w:rsidR="00CE232A" w:rsidRPr="005367E0">
        <w:rPr>
          <w:rFonts w:asciiTheme="majorHAnsi" w:hAnsiTheme="majorHAnsi" w:cs="Times New Roman"/>
          <w:lang w:val="en-GB"/>
        </w:rPr>
        <w:t xml:space="preserve"> living arrangements, with whom a person live,</w:t>
      </w:r>
      <w:r w:rsidRPr="005367E0">
        <w:rPr>
          <w:rFonts w:asciiTheme="majorHAnsi" w:hAnsiTheme="majorHAnsi" w:cs="Times New Roman"/>
          <w:lang w:val="en-GB"/>
        </w:rPr>
        <w:t xml:space="preserve"> </w:t>
      </w:r>
      <w:r w:rsidR="00CE232A" w:rsidRPr="005367E0">
        <w:rPr>
          <w:rFonts w:asciiTheme="majorHAnsi" w:hAnsiTheme="majorHAnsi" w:cs="Times New Roman"/>
          <w:lang w:val="en-GB"/>
        </w:rPr>
        <w:t xml:space="preserve">and </w:t>
      </w:r>
      <w:r w:rsidRPr="005367E0">
        <w:rPr>
          <w:rFonts w:asciiTheme="majorHAnsi" w:hAnsiTheme="majorHAnsi" w:cs="Times New Roman"/>
          <w:lang w:val="en-GB"/>
        </w:rPr>
        <w:t>marital status</w:t>
      </w:r>
      <w:r w:rsidR="00CE232A" w:rsidRPr="005367E0">
        <w:rPr>
          <w:rFonts w:asciiTheme="majorHAnsi" w:hAnsiTheme="majorHAnsi" w:cs="Times New Roman"/>
          <w:lang w:val="en-GB"/>
        </w:rPr>
        <w:t xml:space="preserve"> are</w:t>
      </w:r>
      <w:r w:rsidRPr="005367E0">
        <w:rPr>
          <w:rFonts w:asciiTheme="majorHAnsi" w:hAnsiTheme="majorHAnsi" w:cs="Times New Roman"/>
          <w:lang w:val="en-GB"/>
        </w:rPr>
        <w:t xml:space="preserve"> largely used to explain the variation of </w:t>
      </w:r>
      <w:r w:rsidR="00CE232A" w:rsidRPr="005367E0">
        <w:rPr>
          <w:rFonts w:asciiTheme="majorHAnsi" w:hAnsiTheme="majorHAnsi" w:cs="Times New Roman"/>
          <w:lang w:val="en-GB"/>
        </w:rPr>
        <w:t xml:space="preserve">mortality risks for the </w:t>
      </w:r>
      <w:r w:rsidR="00A92F42" w:rsidRPr="005367E0">
        <w:rPr>
          <w:rFonts w:asciiTheme="majorHAnsi" w:hAnsiTheme="majorHAnsi" w:cs="Times New Roman"/>
          <w:lang w:val="en-GB"/>
        </w:rPr>
        <w:t>older adults</w:t>
      </w:r>
      <w:r w:rsidR="00CE232A" w:rsidRPr="005367E0">
        <w:rPr>
          <w:rFonts w:asciiTheme="majorHAnsi" w:hAnsiTheme="majorHAnsi" w:cs="Times New Roman"/>
          <w:lang w:val="en-GB"/>
        </w:rPr>
        <w:t>. T</w:t>
      </w:r>
      <w:r w:rsidRPr="005367E0">
        <w:rPr>
          <w:rFonts w:asciiTheme="majorHAnsi" w:hAnsiTheme="majorHAnsi" w:cs="Times New Roman"/>
          <w:lang w:val="en-GB"/>
        </w:rPr>
        <w:t>rends in family and household composition have been in inte</w:t>
      </w:r>
      <w:r w:rsidR="004F0268" w:rsidRPr="005367E0">
        <w:rPr>
          <w:rFonts w:asciiTheme="majorHAnsi" w:hAnsiTheme="majorHAnsi" w:cs="Times New Roman"/>
          <w:lang w:val="en-GB"/>
        </w:rPr>
        <w:t>rest of demographers but less is known about trends</w:t>
      </w:r>
      <w:r w:rsidR="00DE0735" w:rsidRPr="005367E0">
        <w:rPr>
          <w:rFonts w:asciiTheme="majorHAnsi" w:hAnsiTheme="majorHAnsi" w:cs="Times New Roman"/>
          <w:lang w:val="en-GB"/>
        </w:rPr>
        <w:t xml:space="preserve"> in</w:t>
      </w:r>
      <w:r w:rsidRPr="005367E0">
        <w:rPr>
          <w:rFonts w:asciiTheme="majorHAnsi" w:hAnsiTheme="majorHAnsi" w:cs="Times New Roman"/>
          <w:lang w:val="en-GB"/>
        </w:rPr>
        <w:t xml:space="preserve"> </w:t>
      </w:r>
      <w:r w:rsidR="00CE232A" w:rsidRPr="005367E0">
        <w:rPr>
          <w:rFonts w:asciiTheme="majorHAnsi" w:hAnsiTheme="majorHAnsi" w:cs="Times New Roman"/>
          <w:lang w:val="en-GB"/>
        </w:rPr>
        <w:t>living arr</w:t>
      </w:r>
      <w:r w:rsidR="004F0268" w:rsidRPr="005367E0">
        <w:rPr>
          <w:rFonts w:asciiTheme="majorHAnsi" w:hAnsiTheme="majorHAnsi" w:cs="Times New Roman"/>
          <w:lang w:val="en-GB"/>
        </w:rPr>
        <w:t>angements of elderly population</w:t>
      </w:r>
      <w:r w:rsidR="00695CDE" w:rsidRPr="005367E0">
        <w:rPr>
          <w:rFonts w:asciiTheme="majorHAnsi" w:hAnsiTheme="majorHAnsi" w:cs="Times New Roman"/>
          <w:lang w:val="en-GB"/>
        </w:rPr>
        <w:t xml:space="preserve"> and its possible impact on mortality</w:t>
      </w:r>
      <w:r w:rsidR="004F0268" w:rsidRPr="005367E0">
        <w:rPr>
          <w:rFonts w:asciiTheme="majorHAnsi" w:hAnsiTheme="majorHAnsi" w:cs="Times New Roman"/>
          <w:lang w:val="en-GB"/>
        </w:rPr>
        <w:t xml:space="preserve">. These trends </w:t>
      </w:r>
      <w:r w:rsidRPr="005367E0">
        <w:rPr>
          <w:rFonts w:asciiTheme="majorHAnsi" w:hAnsiTheme="majorHAnsi" w:cs="Times New Roman"/>
          <w:lang w:val="en-GB"/>
        </w:rPr>
        <w:t xml:space="preserve">are associated </w:t>
      </w:r>
      <w:r w:rsidR="00CE232A" w:rsidRPr="005367E0">
        <w:rPr>
          <w:rFonts w:asciiTheme="majorHAnsi" w:hAnsiTheme="majorHAnsi" w:cs="Times New Roman"/>
          <w:lang w:val="en-GB"/>
        </w:rPr>
        <w:t xml:space="preserve">with steadily improving longevity in the context of population ageing but also </w:t>
      </w:r>
      <w:r w:rsidRPr="005367E0">
        <w:rPr>
          <w:rFonts w:asciiTheme="majorHAnsi" w:hAnsiTheme="majorHAnsi" w:cs="Times New Roman"/>
          <w:lang w:val="en-GB"/>
        </w:rPr>
        <w:t>with the</w:t>
      </w:r>
      <w:r w:rsidR="00CE232A" w:rsidRPr="005367E0">
        <w:rPr>
          <w:rFonts w:asciiTheme="majorHAnsi" w:hAnsiTheme="majorHAnsi" w:cs="Times New Roman"/>
          <w:lang w:val="en-GB"/>
        </w:rPr>
        <w:t xml:space="preserve"> impact of the</w:t>
      </w:r>
      <w:r w:rsidRPr="005367E0">
        <w:rPr>
          <w:rFonts w:asciiTheme="majorHAnsi" w:hAnsiTheme="majorHAnsi" w:cs="Times New Roman"/>
          <w:lang w:val="en-GB"/>
        </w:rPr>
        <w:t xml:space="preserve"> second demographic transition characterised by increasing individuali</w:t>
      </w:r>
      <w:r w:rsidR="00CE232A" w:rsidRPr="005367E0">
        <w:rPr>
          <w:rFonts w:asciiTheme="majorHAnsi" w:hAnsiTheme="majorHAnsi" w:cs="Times New Roman"/>
          <w:lang w:val="en-GB"/>
        </w:rPr>
        <w:t>sation in demographic behaviour</w:t>
      </w:r>
      <w:r w:rsidRPr="005367E0">
        <w:rPr>
          <w:rFonts w:asciiTheme="majorHAnsi" w:hAnsiTheme="majorHAnsi" w:cs="Times New Roman"/>
          <w:lang w:val="en-GB"/>
        </w:rPr>
        <w:t>.</w:t>
      </w:r>
      <w:r w:rsidR="006A6448" w:rsidRPr="005367E0">
        <w:rPr>
          <w:rFonts w:asciiTheme="majorHAnsi" w:hAnsiTheme="majorHAnsi" w:cs="Times New Roman"/>
          <w:lang w:val="en-GB"/>
        </w:rPr>
        <w:t xml:space="preserve"> </w:t>
      </w:r>
      <w:r w:rsidR="001B3661" w:rsidRPr="005367E0">
        <w:rPr>
          <w:rFonts w:asciiTheme="majorHAnsi" w:hAnsiTheme="majorHAnsi" w:cs="Times New Roman"/>
          <w:lang w:val="en-GB"/>
        </w:rPr>
        <w:t xml:space="preserve">Studies suggest that not only distribution of living arrangements is affected by the mortality improvements but </w:t>
      </w:r>
      <w:r w:rsidR="003C42B9" w:rsidRPr="005367E0">
        <w:rPr>
          <w:rFonts w:asciiTheme="majorHAnsi" w:hAnsiTheme="majorHAnsi" w:cs="Times New Roman"/>
          <w:lang w:val="en-GB"/>
        </w:rPr>
        <w:t xml:space="preserve">also that </w:t>
      </w:r>
      <w:r w:rsidR="001B3661" w:rsidRPr="005367E0">
        <w:rPr>
          <w:rFonts w:asciiTheme="majorHAnsi" w:hAnsiTheme="majorHAnsi" w:cs="Times New Roman"/>
          <w:lang w:val="en-GB"/>
        </w:rPr>
        <w:t>different living arrangements have specific association with mortality risk</w:t>
      </w:r>
      <w:r w:rsidR="003C42B9" w:rsidRPr="005367E0">
        <w:rPr>
          <w:rFonts w:asciiTheme="majorHAnsi" w:hAnsiTheme="majorHAnsi" w:cs="Times New Roman"/>
          <w:lang w:val="en-GB"/>
        </w:rPr>
        <w:t>s</w:t>
      </w:r>
      <w:r w:rsidR="001B3661" w:rsidRPr="005367E0">
        <w:rPr>
          <w:rFonts w:asciiTheme="majorHAnsi" w:hAnsiTheme="majorHAnsi" w:cs="Times New Roman"/>
          <w:lang w:val="en-GB"/>
        </w:rPr>
        <w:t xml:space="preserve">. This raises a question if and how trends in living arrangements </w:t>
      </w:r>
      <w:r w:rsidR="003C42B9" w:rsidRPr="005367E0">
        <w:rPr>
          <w:rFonts w:asciiTheme="majorHAnsi" w:hAnsiTheme="majorHAnsi" w:cs="Times New Roman"/>
          <w:lang w:val="en-GB"/>
        </w:rPr>
        <w:t xml:space="preserve">of the elderly </w:t>
      </w:r>
      <w:r w:rsidR="001B3661" w:rsidRPr="005367E0">
        <w:rPr>
          <w:rFonts w:asciiTheme="majorHAnsi" w:hAnsiTheme="majorHAnsi" w:cs="Times New Roman"/>
          <w:lang w:val="en-GB"/>
        </w:rPr>
        <w:t xml:space="preserve">could </w:t>
      </w:r>
      <w:r w:rsidR="003C42B9" w:rsidRPr="005367E0">
        <w:rPr>
          <w:rFonts w:asciiTheme="majorHAnsi" w:hAnsiTheme="majorHAnsi" w:cs="Times New Roman"/>
          <w:lang w:val="en-GB"/>
        </w:rPr>
        <w:t xml:space="preserve">be </w:t>
      </w:r>
      <w:r w:rsidR="001B3661" w:rsidRPr="005367E0">
        <w:rPr>
          <w:rFonts w:asciiTheme="majorHAnsi" w:hAnsiTheme="majorHAnsi" w:cs="Times New Roman"/>
          <w:lang w:val="en-GB"/>
        </w:rPr>
        <w:t>reflect</w:t>
      </w:r>
      <w:r w:rsidR="003C42B9" w:rsidRPr="005367E0">
        <w:rPr>
          <w:rFonts w:asciiTheme="majorHAnsi" w:hAnsiTheme="majorHAnsi" w:cs="Times New Roman"/>
          <w:lang w:val="en-GB"/>
        </w:rPr>
        <w:t>ed</w:t>
      </w:r>
      <w:r w:rsidR="00DE0735" w:rsidRPr="005367E0">
        <w:rPr>
          <w:rFonts w:asciiTheme="majorHAnsi" w:hAnsiTheme="majorHAnsi" w:cs="Times New Roman"/>
          <w:lang w:val="en-GB"/>
        </w:rPr>
        <w:t xml:space="preserve"> in mortality improvement. </w:t>
      </w:r>
      <w:r w:rsidR="00C407FE" w:rsidRPr="005367E0">
        <w:rPr>
          <w:rFonts w:asciiTheme="majorHAnsi" w:hAnsiTheme="majorHAnsi" w:cs="Times New Roman"/>
          <w:lang w:val="en-GB"/>
        </w:rPr>
        <w:t xml:space="preserve">More precisely we intend to check (i) how changes in the structure of the </w:t>
      </w:r>
      <w:r w:rsidR="00A92F42" w:rsidRPr="005367E0">
        <w:rPr>
          <w:rFonts w:asciiTheme="majorHAnsi" w:hAnsiTheme="majorHAnsi" w:cs="Times New Roman"/>
          <w:lang w:val="en-GB"/>
        </w:rPr>
        <w:t>older adults</w:t>
      </w:r>
      <w:r w:rsidR="00C407FE" w:rsidRPr="005367E0">
        <w:rPr>
          <w:rFonts w:asciiTheme="majorHAnsi" w:hAnsiTheme="majorHAnsi" w:cs="Times New Roman"/>
          <w:lang w:val="en-GB"/>
        </w:rPr>
        <w:t xml:space="preserve"> by living arrangements could impact the improvement in longevity and (ii) if </w:t>
      </w:r>
      <w:r w:rsidR="001B3661" w:rsidRPr="005367E0">
        <w:rPr>
          <w:rFonts w:asciiTheme="majorHAnsi" w:hAnsiTheme="majorHAnsi" w:cs="Times New Roman"/>
          <w:lang w:val="en-GB"/>
        </w:rPr>
        <w:t>the change</w:t>
      </w:r>
      <w:r w:rsidR="00DE0735" w:rsidRPr="005367E0">
        <w:rPr>
          <w:rFonts w:asciiTheme="majorHAnsi" w:hAnsiTheme="majorHAnsi" w:cs="Times New Roman"/>
          <w:lang w:val="en-GB"/>
        </w:rPr>
        <w:t xml:space="preserve"> observed</w:t>
      </w:r>
      <w:r w:rsidR="001B3661" w:rsidRPr="005367E0">
        <w:rPr>
          <w:rFonts w:asciiTheme="majorHAnsi" w:hAnsiTheme="majorHAnsi" w:cs="Times New Roman"/>
          <w:lang w:val="en-GB"/>
        </w:rPr>
        <w:t xml:space="preserve"> in the association between specific living arrangement</w:t>
      </w:r>
      <w:r w:rsidR="00C407FE" w:rsidRPr="005367E0">
        <w:rPr>
          <w:rFonts w:asciiTheme="majorHAnsi" w:hAnsiTheme="majorHAnsi" w:cs="Times New Roman"/>
          <w:lang w:val="en-GB"/>
        </w:rPr>
        <w:t>s</w:t>
      </w:r>
      <w:r w:rsidR="001B3661" w:rsidRPr="005367E0">
        <w:rPr>
          <w:rFonts w:asciiTheme="majorHAnsi" w:hAnsiTheme="majorHAnsi" w:cs="Times New Roman"/>
          <w:lang w:val="en-GB"/>
        </w:rPr>
        <w:t xml:space="preserve"> and mortality risk</w:t>
      </w:r>
      <w:r w:rsidR="00C407FE" w:rsidRPr="005367E0">
        <w:rPr>
          <w:rFonts w:asciiTheme="majorHAnsi" w:hAnsiTheme="majorHAnsi" w:cs="Times New Roman"/>
          <w:lang w:val="en-GB"/>
        </w:rPr>
        <w:t>s could also impact the change in mortality</w:t>
      </w:r>
      <w:r w:rsidR="001B3661" w:rsidRPr="005367E0">
        <w:rPr>
          <w:rFonts w:asciiTheme="majorHAnsi" w:hAnsiTheme="majorHAnsi" w:cs="Times New Roman"/>
          <w:lang w:val="en-GB"/>
        </w:rPr>
        <w:t xml:space="preserve">. </w:t>
      </w:r>
      <w:r w:rsidR="00DE0735" w:rsidRPr="005367E0">
        <w:rPr>
          <w:rFonts w:asciiTheme="majorHAnsi" w:hAnsiTheme="majorHAnsi"/>
          <w:lang w:val="en-GB"/>
        </w:rPr>
        <w:t xml:space="preserve">As some living arrangements are more favourable for survival in old ages than others, </w:t>
      </w:r>
      <w:r w:rsidR="00C407FE" w:rsidRPr="005367E0">
        <w:rPr>
          <w:rFonts w:asciiTheme="majorHAnsi" w:hAnsiTheme="majorHAnsi"/>
          <w:lang w:val="en-GB"/>
        </w:rPr>
        <w:t xml:space="preserve">some observed </w:t>
      </w:r>
      <w:r w:rsidR="00DE0735" w:rsidRPr="005367E0">
        <w:rPr>
          <w:rFonts w:asciiTheme="majorHAnsi" w:hAnsiTheme="majorHAnsi"/>
          <w:lang w:val="en-GB"/>
        </w:rPr>
        <w:t xml:space="preserve">relative </w:t>
      </w:r>
      <w:r w:rsidR="00C407FE" w:rsidRPr="005367E0">
        <w:rPr>
          <w:rFonts w:asciiTheme="majorHAnsi" w:hAnsiTheme="majorHAnsi"/>
          <w:lang w:val="en-GB"/>
        </w:rPr>
        <w:t>changes</w:t>
      </w:r>
      <w:r w:rsidR="00FC7FCE" w:rsidRPr="005367E0">
        <w:rPr>
          <w:rFonts w:asciiTheme="majorHAnsi" w:hAnsiTheme="majorHAnsi"/>
          <w:lang w:val="en-GB"/>
        </w:rPr>
        <w:t xml:space="preserve"> in the distribution of older </w:t>
      </w:r>
      <w:r w:rsidR="00C407FE" w:rsidRPr="005367E0">
        <w:rPr>
          <w:rFonts w:asciiTheme="majorHAnsi" w:hAnsiTheme="majorHAnsi"/>
          <w:lang w:val="en-GB"/>
        </w:rPr>
        <w:t>people by living arrangements might</w:t>
      </w:r>
      <w:r w:rsidR="00EE4A51" w:rsidRPr="005367E0">
        <w:rPr>
          <w:rFonts w:asciiTheme="majorHAnsi" w:hAnsiTheme="majorHAnsi"/>
          <w:lang w:val="en-GB"/>
        </w:rPr>
        <w:t xml:space="preserve"> </w:t>
      </w:r>
      <w:r w:rsidR="00DE0735" w:rsidRPr="005367E0">
        <w:rPr>
          <w:rFonts w:asciiTheme="majorHAnsi" w:hAnsiTheme="majorHAnsi"/>
          <w:lang w:val="en-GB"/>
        </w:rPr>
        <w:t xml:space="preserve">favour or </w:t>
      </w:r>
      <w:r w:rsidR="00C407FE" w:rsidRPr="005367E0">
        <w:rPr>
          <w:rFonts w:asciiTheme="majorHAnsi" w:hAnsiTheme="majorHAnsi"/>
          <w:lang w:val="en-GB"/>
        </w:rPr>
        <w:t xml:space="preserve">reduce the improvement in mortality. </w:t>
      </w:r>
      <w:r w:rsidR="00DE0735" w:rsidRPr="005367E0">
        <w:rPr>
          <w:rFonts w:asciiTheme="majorHAnsi" w:hAnsiTheme="majorHAnsi"/>
          <w:lang w:val="en-GB"/>
        </w:rPr>
        <w:t>Moreover</w:t>
      </w:r>
      <w:r w:rsidR="00EE4A51" w:rsidRPr="005367E0">
        <w:rPr>
          <w:rFonts w:asciiTheme="majorHAnsi" w:hAnsiTheme="majorHAnsi"/>
          <w:lang w:val="en-GB"/>
        </w:rPr>
        <w:t xml:space="preserve">, the convergence in the association </w:t>
      </w:r>
      <w:r w:rsidR="00C407FE" w:rsidRPr="005367E0">
        <w:rPr>
          <w:rFonts w:asciiTheme="majorHAnsi" w:hAnsiTheme="majorHAnsi"/>
          <w:lang w:val="en-GB"/>
        </w:rPr>
        <w:t>between</w:t>
      </w:r>
      <w:r w:rsidR="00EE4A51" w:rsidRPr="005367E0">
        <w:rPr>
          <w:rFonts w:asciiTheme="majorHAnsi" w:hAnsiTheme="majorHAnsi"/>
          <w:lang w:val="en-GB"/>
        </w:rPr>
        <w:t xml:space="preserve"> living arrangements and mortality</w:t>
      </w:r>
      <w:r w:rsidR="00C407FE" w:rsidRPr="005367E0">
        <w:rPr>
          <w:rFonts w:asciiTheme="majorHAnsi" w:hAnsiTheme="majorHAnsi"/>
          <w:lang w:val="en-GB"/>
        </w:rPr>
        <w:t xml:space="preserve"> risks</w:t>
      </w:r>
      <w:r w:rsidR="00EE4A51" w:rsidRPr="005367E0">
        <w:rPr>
          <w:rFonts w:asciiTheme="majorHAnsi" w:hAnsiTheme="majorHAnsi"/>
          <w:lang w:val="en-GB"/>
        </w:rPr>
        <w:t xml:space="preserve"> </w:t>
      </w:r>
      <w:r w:rsidR="00DE0735" w:rsidRPr="005367E0">
        <w:rPr>
          <w:rFonts w:asciiTheme="majorHAnsi" w:hAnsiTheme="majorHAnsi"/>
          <w:lang w:val="en-GB"/>
        </w:rPr>
        <w:t xml:space="preserve">and the smaller variation of mortality risks between living arrangements in advanced ages </w:t>
      </w:r>
      <w:r w:rsidR="00EE4A51" w:rsidRPr="005367E0">
        <w:rPr>
          <w:rFonts w:asciiTheme="majorHAnsi" w:hAnsiTheme="majorHAnsi"/>
          <w:lang w:val="en-GB"/>
        </w:rPr>
        <w:t xml:space="preserve">could </w:t>
      </w:r>
      <w:r w:rsidR="00C407FE" w:rsidRPr="005367E0">
        <w:rPr>
          <w:rFonts w:asciiTheme="majorHAnsi" w:hAnsiTheme="majorHAnsi"/>
          <w:lang w:val="en-GB"/>
        </w:rPr>
        <w:t>counter-balance this effect</w:t>
      </w:r>
      <w:r w:rsidR="00EE4A51" w:rsidRPr="005367E0">
        <w:rPr>
          <w:rFonts w:asciiTheme="majorHAnsi" w:hAnsiTheme="majorHAnsi"/>
          <w:lang w:val="en-GB"/>
        </w:rPr>
        <w:t xml:space="preserve">. </w:t>
      </w:r>
      <w:r w:rsidR="00294892" w:rsidRPr="005367E0">
        <w:rPr>
          <w:rFonts w:asciiTheme="majorHAnsi" w:hAnsiTheme="majorHAnsi"/>
          <w:lang w:val="en-GB"/>
        </w:rPr>
        <w:t xml:space="preserve"> </w:t>
      </w:r>
    </w:p>
    <w:p w14:paraId="1CF77942" w14:textId="2840D663" w:rsidR="001D10DF" w:rsidRPr="005367E0" w:rsidRDefault="001D10DF" w:rsidP="007D360C">
      <w:pPr>
        <w:spacing w:after="120"/>
        <w:jc w:val="both"/>
        <w:rPr>
          <w:rFonts w:asciiTheme="majorHAnsi" w:hAnsiTheme="majorHAnsi" w:cs="Times New Roman"/>
          <w:lang w:val="en-GB"/>
        </w:rPr>
      </w:pPr>
    </w:p>
    <w:p w14:paraId="0438591D" w14:textId="77777777" w:rsidR="001D10DF" w:rsidRPr="005367E0" w:rsidRDefault="001D10DF" w:rsidP="001E0703">
      <w:pPr>
        <w:jc w:val="both"/>
        <w:rPr>
          <w:rFonts w:asciiTheme="majorHAnsi" w:hAnsiTheme="majorHAnsi" w:cs="Times New Roman"/>
          <w:b/>
          <w:sz w:val="28"/>
          <w:szCs w:val="28"/>
          <w:lang w:val="en-GB"/>
        </w:rPr>
      </w:pPr>
      <w:r w:rsidRPr="005367E0">
        <w:rPr>
          <w:rFonts w:asciiTheme="majorHAnsi" w:hAnsiTheme="majorHAnsi" w:cs="Times New Roman"/>
          <w:b/>
          <w:sz w:val="28"/>
          <w:szCs w:val="28"/>
          <w:lang w:val="en-GB"/>
        </w:rPr>
        <w:t>Data used and typology of living arrangements</w:t>
      </w:r>
    </w:p>
    <w:p w14:paraId="527112A6" w14:textId="0D77E245" w:rsidR="001D10DF" w:rsidRPr="005367E0" w:rsidRDefault="001B3661" w:rsidP="005367E0">
      <w:pPr>
        <w:spacing w:after="120"/>
        <w:jc w:val="both"/>
        <w:rPr>
          <w:rFonts w:asciiTheme="majorHAnsi" w:eastAsia="Times New Roman" w:hAnsiTheme="majorHAnsi" w:cs="Times New Roman"/>
          <w:lang w:val="en-GB"/>
        </w:rPr>
      </w:pPr>
      <w:r w:rsidRPr="005367E0">
        <w:rPr>
          <w:rFonts w:asciiTheme="majorHAnsi" w:hAnsiTheme="majorHAnsi" w:cs="Times New Roman"/>
          <w:lang w:val="en-GB"/>
        </w:rPr>
        <w:t xml:space="preserve">To assess the </w:t>
      </w:r>
      <w:r w:rsidR="00FE6A68" w:rsidRPr="005367E0">
        <w:rPr>
          <w:rFonts w:asciiTheme="majorHAnsi" w:hAnsiTheme="majorHAnsi" w:cs="Times New Roman"/>
          <w:lang w:val="en-GB"/>
        </w:rPr>
        <w:t xml:space="preserve">impact of the </w:t>
      </w:r>
      <w:r w:rsidRPr="005367E0">
        <w:rPr>
          <w:rFonts w:asciiTheme="majorHAnsi" w:hAnsiTheme="majorHAnsi" w:cs="Times New Roman"/>
          <w:lang w:val="en-GB"/>
        </w:rPr>
        <w:t xml:space="preserve">trends of living arrangements </w:t>
      </w:r>
      <w:r w:rsidR="00FE6A68" w:rsidRPr="005367E0">
        <w:rPr>
          <w:rFonts w:asciiTheme="majorHAnsi" w:hAnsiTheme="majorHAnsi" w:cs="Times New Roman"/>
          <w:lang w:val="en-GB"/>
        </w:rPr>
        <w:t>on mortality improvement</w:t>
      </w:r>
      <w:r w:rsidRPr="005367E0">
        <w:rPr>
          <w:rFonts w:asciiTheme="majorHAnsi" w:hAnsiTheme="majorHAnsi" w:cs="Times New Roman"/>
          <w:lang w:val="en-GB"/>
        </w:rPr>
        <w:t xml:space="preserve"> we use </w:t>
      </w:r>
      <w:r w:rsidR="00FE6A68" w:rsidRPr="005367E0">
        <w:rPr>
          <w:rFonts w:asciiTheme="majorHAnsi" w:hAnsiTheme="majorHAnsi" w:cs="Times New Roman"/>
          <w:lang w:val="en-GB"/>
        </w:rPr>
        <w:t xml:space="preserve">Belgian </w:t>
      </w:r>
      <w:r w:rsidRPr="005367E0">
        <w:rPr>
          <w:rFonts w:asciiTheme="majorHAnsi" w:hAnsiTheme="majorHAnsi" w:cs="Times New Roman"/>
          <w:lang w:val="en-GB"/>
        </w:rPr>
        <w:t xml:space="preserve">data from national population register and </w:t>
      </w:r>
      <w:r w:rsidR="00FE6A68" w:rsidRPr="005367E0">
        <w:rPr>
          <w:rFonts w:asciiTheme="majorHAnsi" w:hAnsiTheme="majorHAnsi" w:cs="Times New Roman"/>
          <w:lang w:val="en-GB"/>
        </w:rPr>
        <w:t>consider</w:t>
      </w:r>
      <w:r w:rsidRPr="005367E0">
        <w:rPr>
          <w:rFonts w:asciiTheme="majorHAnsi" w:hAnsiTheme="majorHAnsi" w:cs="Times New Roman"/>
          <w:lang w:val="en-GB"/>
        </w:rPr>
        <w:t xml:space="preserve"> a detailed typology </w:t>
      </w:r>
      <w:r w:rsidR="002B0817" w:rsidRPr="005367E0">
        <w:rPr>
          <w:rFonts w:asciiTheme="majorHAnsi" w:hAnsiTheme="majorHAnsi" w:cs="Times New Roman"/>
          <w:lang w:val="en-GB"/>
        </w:rPr>
        <w:t xml:space="preserve">of </w:t>
      </w:r>
      <w:r w:rsidRPr="005367E0">
        <w:rPr>
          <w:rFonts w:asciiTheme="majorHAnsi" w:hAnsiTheme="majorHAnsi" w:cs="Times New Roman"/>
          <w:lang w:val="en-GB"/>
        </w:rPr>
        <w:t xml:space="preserve">living arrangements combining the types of co-residence and marital status. </w:t>
      </w:r>
      <w:r w:rsidR="00AF3501" w:rsidRPr="005367E0">
        <w:rPr>
          <w:rFonts w:asciiTheme="majorHAnsi" w:hAnsiTheme="majorHAnsi" w:cs="Times New Roman"/>
          <w:lang w:val="en-GB"/>
        </w:rPr>
        <w:t xml:space="preserve">Using register data, </w:t>
      </w:r>
      <w:r w:rsidRPr="005367E0">
        <w:rPr>
          <w:rFonts w:asciiTheme="majorHAnsi" w:hAnsiTheme="majorHAnsi" w:cs="Times New Roman"/>
          <w:lang w:val="en-GB"/>
        </w:rPr>
        <w:t>we ha</w:t>
      </w:r>
      <w:r w:rsidR="002B0817" w:rsidRPr="005367E0">
        <w:rPr>
          <w:rFonts w:asciiTheme="majorHAnsi" w:hAnsiTheme="majorHAnsi" w:cs="Times New Roman"/>
          <w:lang w:val="en-GB"/>
        </w:rPr>
        <w:t>d</w:t>
      </w:r>
      <w:r w:rsidRPr="005367E0">
        <w:rPr>
          <w:rFonts w:asciiTheme="majorHAnsi" w:hAnsiTheme="majorHAnsi" w:cs="Times New Roman"/>
          <w:lang w:val="en-GB"/>
        </w:rPr>
        <w:t xml:space="preserve"> a unique possibility to </w:t>
      </w:r>
      <w:r w:rsidR="00FE6A68" w:rsidRPr="005367E0">
        <w:rPr>
          <w:rFonts w:asciiTheme="majorHAnsi" w:hAnsiTheme="majorHAnsi" w:cs="Times New Roman"/>
          <w:lang w:val="en-GB"/>
        </w:rPr>
        <w:t>follow the living arrangements of the population aged 60 years and over from 1991 to 2013. That allowed capturing</w:t>
      </w:r>
      <w:r w:rsidRPr="005367E0">
        <w:rPr>
          <w:rFonts w:asciiTheme="majorHAnsi" w:hAnsiTheme="majorHAnsi" w:cs="Times New Roman"/>
          <w:lang w:val="en-GB"/>
        </w:rPr>
        <w:t xml:space="preserve"> the emergenc</w:t>
      </w:r>
      <w:r w:rsidR="002B0817" w:rsidRPr="005367E0">
        <w:rPr>
          <w:rFonts w:asciiTheme="majorHAnsi" w:hAnsiTheme="majorHAnsi" w:cs="Times New Roman"/>
          <w:lang w:val="en-GB"/>
        </w:rPr>
        <w:t>e</w:t>
      </w:r>
      <w:r w:rsidRPr="005367E0">
        <w:rPr>
          <w:rFonts w:asciiTheme="majorHAnsi" w:hAnsiTheme="majorHAnsi" w:cs="Times New Roman"/>
          <w:lang w:val="en-GB"/>
        </w:rPr>
        <w:t xml:space="preserve"> </w:t>
      </w:r>
      <w:r w:rsidR="002B0817" w:rsidRPr="005367E0">
        <w:rPr>
          <w:rFonts w:asciiTheme="majorHAnsi" w:hAnsiTheme="majorHAnsi" w:cs="Times New Roman"/>
          <w:lang w:val="en-GB"/>
        </w:rPr>
        <w:t xml:space="preserve">and change </w:t>
      </w:r>
      <w:r w:rsidRPr="005367E0">
        <w:rPr>
          <w:rFonts w:asciiTheme="majorHAnsi" w:hAnsiTheme="majorHAnsi" w:cs="Times New Roman"/>
          <w:lang w:val="en-GB"/>
        </w:rPr>
        <w:t xml:space="preserve">of </w:t>
      </w:r>
      <w:r w:rsidR="002B0817" w:rsidRPr="005367E0">
        <w:rPr>
          <w:rFonts w:asciiTheme="majorHAnsi" w:hAnsiTheme="majorHAnsi" w:cs="Times New Roman"/>
          <w:lang w:val="en-GB"/>
        </w:rPr>
        <w:t>some</w:t>
      </w:r>
      <w:r w:rsidRPr="005367E0">
        <w:rPr>
          <w:rFonts w:asciiTheme="majorHAnsi" w:hAnsiTheme="majorHAnsi" w:cs="Times New Roman"/>
          <w:lang w:val="en-GB"/>
        </w:rPr>
        <w:t xml:space="preserve"> types of living arrangements by age and in time, and their effect to the overall mortality outcome.</w:t>
      </w:r>
      <w:r w:rsidR="002317E7" w:rsidRPr="005367E0">
        <w:rPr>
          <w:rFonts w:asciiTheme="majorHAnsi" w:hAnsiTheme="majorHAnsi" w:cs="Times New Roman"/>
          <w:lang w:val="en-GB"/>
        </w:rPr>
        <w:t xml:space="preserve"> </w:t>
      </w:r>
      <w:r w:rsidRPr="005367E0">
        <w:rPr>
          <w:rFonts w:asciiTheme="majorHAnsi" w:hAnsiTheme="majorHAnsi"/>
          <w:lang w:val="en-GB"/>
        </w:rPr>
        <w:t xml:space="preserve">The population of interest </w:t>
      </w:r>
      <w:r w:rsidR="001D10DF" w:rsidRPr="005367E0">
        <w:rPr>
          <w:rFonts w:asciiTheme="majorHAnsi" w:eastAsia="Times New Roman" w:hAnsiTheme="majorHAnsi" w:cs="Times New Roman"/>
          <w:bCs/>
          <w:lang w:val="en-GB"/>
        </w:rPr>
        <w:t xml:space="preserve">includes </w:t>
      </w:r>
      <w:r w:rsidR="005E16E3" w:rsidRPr="005367E0">
        <w:rPr>
          <w:rFonts w:asciiTheme="majorHAnsi" w:eastAsia="Times New Roman" w:hAnsiTheme="majorHAnsi" w:cs="Times New Roman"/>
          <w:lang w:val="en-GB"/>
        </w:rPr>
        <w:t>2.1</w:t>
      </w:r>
      <w:r w:rsidR="001D10DF" w:rsidRPr="005367E0">
        <w:rPr>
          <w:rFonts w:asciiTheme="majorHAnsi" w:eastAsia="Times New Roman" w:hAnsiTheme="majorHAnsi" w:cs="Times New Roman"/>
          <w:lang w:val="en-GB"/>
        </w:rPr>
        <w:t xml:space="preserve"> million persons on 1 January 1991 and increases up to </w:t>
      </w:r>
      <w:r w:rsidR="005E16E3" w:rsidRPr="005367E0">
        <w:rPr>
          <w:rFonts w:asciiTheme="majorHAnsi" w:eastAsia="Times New Roman" w:hAnsiTheme="majorHAnsi" w:cs="Times New Roman"/>
          <w:lang w:val="en-GB"/>
        </w:rPr>
        <w:t>2.6 million</w:t>
      </w:r>
      <w:r w:rsidR="002178CB" w:rsidRPr="005367E0">
        <w:rPr>
          <w:rFonts w:asciiTheme="majorHAnsi" w:eastAsia="Times New Roman" w:hAnsiTheme="majorHAnsi" w:cs="Times New Roman"/>
          <w:lang w:val="en-GB"/>
        </w:rPr>
        <w:t xml:space="preserve"> on </w:t>
      </w:r>
      <w:r w:rsidR="00877867" w:rsidRPr="005367E0">
        <w:rPr>
          <w:rFonts w:asciiTheme="majorHAnsi" w:eastAsia="Times New Roman" w:hAnsiTheme="majorHAnsi" w:cs="Times New Roman"/>
          <w:lang w:val="en-GB"/>
        </w:rPr>
        <w:t xml:space="preserve">1 January 2013 and a total of 2 million </w:t>
      </w:r>
      <w:r w:rsidR="002178CB" w:rsidRPr="005367E0">
        <w:rPr>
          <w:rFonts w:asciiTheme="majorHAnsi" w:eastAsia="Times New Roman" w:hAnsiTheme="majorHAnsi" w:cs="Times New Roman"/>
          <w:lang w:val="en-GB"/>
        </w:rPr>
        <w:t>deaths were registered during the period of observation.</w:t>
      </w:r>
    </w:p>
    <w:p w14:paraId="5B6173D3" w14:textId="0D9B1A63" w:rsidR="001D10DF" w:rsidRPr="005367E0" w:rsidRDefault="002A12EC" w:rsidP="005367E0">
      <w:pPr>
        <w:spacing w:after="120"/>
        <w:contextualSpacing/>
        <w:jc w:val="both"/>
        <w:rPr>
          <w:rFonts w:asciiTheme="majorHAnsi" w:eastAsia="Times New Roman" w:hAnsiTheme="majorHAnsi" w:cs="Times New Roman"/>
          <w:lang w:val="en-GB"/>
        </w:rPr>
      </w:pPr>
      <w:r w:rsidRPr="005367E0">
        <w:rPr>
          <w:rFonts w:asciiTheme="majorHAnsi" w:eastAsia="Times New Roman" w:hAnsiTheme="majorHAnsi" w:cs="Times New Roman"/>
          <w:lang w:val="en-GB"/>
        </w:rPr>
        <w:t>The</w:t>
      </w:r>
      <w:r w:rsidR="001D10DF" w:rsidRPr="005367E0">
        <w:rPr>
          <w:rFonts w:asciiTheme="majorHAnsi" w:eastAsia="Times New Roman" w:hAnsiTheme="majorHAnsi" w:cs="Times New Roman"/>
          <w:lang w:val="en-GB"/>
        </w:rPr>
        <w:t xml:space="preserve"> typology of living arrangements</w:t>
      </w:r>
      <w:r w:rsidR="002178CB" w:rsidRPr="005367E0">
        <w:rPr>
          <w:rFonts w:asciiTheme="majorHAnsi" w:eastAsia="Times New Roman" w:hAnsiTheme="majorHAnsi" w:cs="Times New Roman"/>
          <w:lang w:val="en-GB"/>
        </w:rPr>
        <w:t xml:space="preserve"> used</w:t>
      </w:r>
      <w:r w:rsidR="001D10DF" w:rsidRPr="005367E0">
        <w:rPr>
          <w:rFonts w:asciiTheme="majorHAnsi" w:eastAsia="Times New Roman" w:hAnsiTheme="majorHAnsi" w:cs="Times New Roman"/>
          <w:lang w:val="en-GB"/>
        </w:rPr>
        <w:t xml:space="preserve"> </w:t>
      </w:r>
      <w:r w:rsidR="002B0817" w:rsidRPr="005367E0">
        <w:rPr>
          <w:rFonts w:asciiTheme="majorHAnsi" w:eastAsia="Times New Roman" w:hAnsiTheme="majorHAnsi" w:cs="Times New Roman"/>
          <w:lang w:val="en-GB"/>
        </w:rPr>
        <w:t xml:space="preserve">in this analysis </w:t>
      </w:r>
      <w:r w:rsidR="001D10DF" w:rsidRPr="005367E0">
        <w:rPr>
          <w:rFonts w:asciiTheme="majorHAnsi" w:eastAsia="Times New Roman" w:hAnsiTheme="majorHAnsi" w:cs="Times New Roman"/>
          <w:lang w:val="en-GB"/>
        </w:rPr>
        <w:t>is based on the type of household, the individual relationship with the person of reference and the marital status.</w:t>
      </w:r>
      <w:r w:rsidR="002317E7" w:rsidRPr="005367E0">
        <w:rPr>
          <w:rFonts w:asciiTheme="majorHAnsi" w:eastAsia="Times New Roman" w:hAnsiTheme="majorHAnsi" w:cs="Times New Roman"/>
          <w:lang w:val="en-GB"/>
        </w:rPr>
        <w:t xml:space="preserve"> </w:t>
      </w:r>
      <w:r w:rsidR="001D10DF" w:rsidRPr="005367E0">
        <w:rPr>
          <w:rFonts w:asciiTheme="majorHAnsi" w:eastAsia="Times New Roman" w:hAnsiTheme="majorHAnsi" w:cs="Times New Roman"/>
          <w:lang w:val="en-GB"/>
        </w:rPr>
        <w:t xml:space="preserve"> Three broad groups of living arrangements are distinguished: </w:t>
      </w:r>
      <w:r w:rsidR="003F29B6" w:rsidRPr="005367E0">
        <w:rPr>
          <w:rFonts w:asciiTheme="majorHAnsi" w:eastAsia="Times New Roman" w:hAnsiTheme="majorHAnsi" w:cs="Times New Roman"/>
          <w:lang w:val="en-GB"/>
        </w:rPr>
        <w:t>a</w:t>
      </w:r>
      <w:r w:rsidR="001D10DF" w:rsidRPr="005367E0">
        <w:rPr>
          <w:rFonts w:asciiTheme="majorHAnsi" w:eastAsia="Times New Roman" w:hAnsiTheme="majorHAnsi" w:cs="Times New Roman"/>
          <w:lang w:val="en-GB"/>
        </w:rPr>
        <w:t xml:space="preserve">) </w:t>
      </w:r>
      <w:r w:rsidR="002178CB" w:rsidRPr="005367E0">
        <w:rPr>
          <w:rFonts w:asciiTheme="majorHAnsi" w:eastAsia="Times New Roman" w:hAnsiTheme="majorHAnsi" w:cs="Times New Roman"/>
          <w:lang w:val="en-GB"/>
        </w:rPr>
        <w:t xml:space="preserve">persons living alone; b) </w:t>
      </w:r>
      <w:r w:rsidR="001D10DF" w:rsidRPr="005367E0">
        <w:rPr>
          <w:rFonts w:asciiTheme="majorHAnsi" w:eastAsia="Times New Roman" w:hAnsiTheme="majorHAnsi" w:cs="Times New Roman"/>
          <w:lang w:val="en-GB"/>
        </w:rPr>
        <w:t xml:space="preserve">persons living </w:t>
      </w:r>
      <w:r w:rsidR="003F29B6" w:rsidRPr="005367E0">
        <w:rPr>
          <w:rFonts w:asciiTheme="majorHAnsi" w:eastAsia="Times New Roman" w:hAnsiTheme="majorHAnsi" w:cs="Times New Roman"/>
          <w:lang w:val="en-GB"/>
        </w:rPr>
        <w:t>with a spouse, partner or other persons</w:t>
      </w:r>
      <w:r w:rsidR="002178CB" w:rsidRPr="005367E0">
        <w:rPr>
          <w:rFonts w:asciiTheme="majorHAnsi" w:eastAsia="Times New Roman" w:hAnsiTheme="majorHAnsi" w:cs="Times New Roman"/>
          <w:lang w:val="en-GB"/>
        </w:rPr>
        <w:t xml:space="preserve"> in private household,</w:t>
      </w:r>
      <w:r w:rsidR="001D10DF" w:rsidRPr="005367E0">
        <w:rPr>
          <w:rFonts w:asciiTheme="majorHAnsi" w:eastAsia="Times New Roman" w:hAnsiTheme="majorHAnsi" w:cs="Times New Roman"/>
          <w:lang w:val="en-GB"/>
        </w:rPr>
        <w:t xml:space="preserve"> and </w:t>
      </w:r>
      <w:r w:rsidR="003F29B6" w:rsidRPr="005367E0">
        <w:rPr>
          <w:rFonts w:asciiTheme="majorHAnsi" w:eastAsia="Times New Roman" w:hAnsiTheme="majorHAnsi" w:cs="Times New Roman"/>
          <w:lang w:val="en-GB"/>
        </w:rPr>
        <w:t>c</w:t>
      </w:r>
      <w:r w:rsidR="001D10DF" w:rsidRPr="005367E0">
        <w:rPr>
          <w:rFonts w:asciiTheme="majorHAnsi" w:eastAsia="Times New Roman" w:hAnsiTheme="majorHAnsi" w:cs="Times New Roman"/>
          <w:lang w:val="en-GB"/>
        </w:rPr>
        <w:t>) persons li</w:t>
      </w:r>
      <w:r w:rsidR="002317E7" w:rsidRPr="005367E0">
        <w:rPr>
          <w:rFonts w:asciiTheme="majorHAnsi" w:eastAsia="Times New Roman" w:hAnsiTheme="majorHAnsi" w:cs="Times New Roman"/>
          <w:lang w:val="en-GB"/>
        </w:rPr>
        <w:t>ving in collective households</w:t>
      </w:r>
      <w:r w:rsidR="003F29B6" w:rsidRPr="005367E0">
        <w:rPr>
          <w:rFonts w:asciiTheme="majorHAnsi" w:eastAsia="Times New Roman" w:hAnsiTheme="majorHAnsi" w:cs="Times New Roman"/>
          <w:lang w:val="en-GB"/>
        </w:rPr>
        <w:t xml:space="preserve"> (mainly nursing homes)</w:t>
      </w:r>
      <w:r w:rsidR="002317E7" w:rsidRPr="005367E0">
        <w:rPr>
          <w:rFonts w:asciiTheme="majorHAnsi" w:eastAsia="Times New Roman" w:hAnsiTheme="majorHAnsi" w:cs="Times New Roman"/>
          <w:lang w:val="en-GB"/>
        </w:rPr>
        <w:t xml:space="preserve">. </w:t>
      </w:r>
      <w:r w:rsidR="001D10DF" w:rsidRPr="005367E0">
        <w:rPr>
          <w:rFonts w:asciiTheme="majorHAnsi" w:eastAsia="Times New Roman" w:hAnsiTheme="majorHAnsi" w:cs="Times New Roman"/>
          <w:lang w:val="en-GB"/>
        </w:rPr>
        <w:t xml:space="preserve">For persons living </w:t>
      </w:r>
      <w:r w:rsidR="003F29B6" w:rsidRPr="005367E0">
        <w:rPr>
          <w:rFonts w:asciiTheme="majorHAnsi" w:eastAsia="Times New Roman" w:hAnsiTheme="majorHAnsi" w:cs="Times New Roman"/>
          <w:lang w:val="en-GB"/>
        </w:rPr>
        <w:t>alone or in collective living arrangements</w:t>
      </w:r>
      <w:r w:rsidR="001D10DF" w:rsidRPr="005367E0">
        <w:rPr>
          <w:rFonts w:asciiTheme="majorHAnsi" w:eastAsia="Times New Roman" w:hAnsiTheme="majorHAnsi" w:cs="Times New Roman"/>
          <w:lang w:val="en-GB"/>
        </w:rPr>
        <w:t xml:space="preserve"> we distinguish </w:t>
      </w:r>
      <w:r w:rsidR="002317E7" w:rsidRPr="005367E0">
        <w:rPr>
          <w:rFonts w:asciiTheme="majorHAnsi" w:eastAsia="Times New Roman" w:hAnsiTheme="majorHAnsi" w:cs="Times New Roman"/>
          <w:lang w:val="en-GB"/>
        </w:rPr>
        <w:t>also</w:t>
      </w:r>
      <w:r w:rsidR="001D10DF" w:rsidRPr="005367E0">
        <w:rPr>
          <w:rFonts w:asciiTheme="majorHAnsi" w:eastAsia="Times New Roman" w:hAnsiTheme="majorHAnsi" w:cs="Times New Roman"/>
          <w:lang w:val="en-GB"/>
        </w:rPr>
        <w:t xml:space="preserve"> marital status by considering separately </w:t>
      </w:r>
      <w:r w:rsidR="002B0817" w:rsidRPr="005367E0">
        <w:rPr>
          <w:rFonts w:asciiTheme="majorHAnsi" w:eastAsia="Times New Roman" w:hAnsiTheme="majorHAnsi" w:cs="Times New Roman"/>
          <w:lang w:val="en-GB"/>
        </w:rPr>
        <w:t>single</w:t>
      </w:r>
      <w:r w:rsidR="002178CB" w:rsidRPr="005367E0">
        <w:rPr>
          <w:rFonts w:asciiTheme="majorHAnsi" w:eastAsia="Times New Roman" w:hAnsiTheme="majorHAnsi" w:cs="Times New Roman"/>
          <w:lang w:val="en-GB"/>
        </w:rPr>
        <w:t>, widowed</w:t>
      </w:r>
      <w:r w:rsidR="002B0817" w:rsidRPr="005367E0">
        <w:rPr>
          <w:rFonts w:asciiTheme="majorHAnsi" w:eastAsia="Times New Roman" w:hAnsiTheme="majorHAnsi" w:cs="Times New Roman"/>
          <w:lang w:val="en-GB"/>
        </w:rPr>
        <w:t xml:space="preserve"> and</w:t>
      </w:r>
      <w:r w:rsidR="002178CB" w:rsidRPr="005367E0">
        <w:rPr>
          <w:rFonts w:asciiTheme="majorHAnsi" w:eastAsia="Times New Roman" w:hAnsiTheme="majorHAnsi" w:cs="Times New Roman"/>
          <w:lang w:val="en-GB"/>
        </w:rPr>
        <w:t xml:space="preserve"> </w:t>
      </w:r>
      <w:r w:rsidR="001D10DF" w:rsidRPr="005367E0">
        <w:rPr>
          <w:rFonts w:asciiTheme="majorHAnsi" w:eastAsia="Times New Roman" w:hAnsiTheme="majorHAnsi" w:cs="Times New Roman"/>
          <w:lang w:val="en-GB"/>
        </w:rPr>
        <w:t>divorced</w:t>
      </w:r>
      <w:r w:rsidR="002317E7" w:rsidRPr="005367E0">
        <w:rPr>
          <w:rFonts w:asciiTheme="majorHAnsi" w:eastAsia="Times New Roman" w:hAnsiTheme="majorHAnsi" w:cs="Times New Roman"/>
          <w:lang w:val="en-GB"/>
        </w:rPr>
        <w:t xml:space="preserve"> or separated.</w:t>
      </w:r>
      <w:r w:rsidR="001D10DF" w:rsidRPr="005367E0">
        <w:rPr>
          <w:rFonts w:asciiTheme="majorHAnsi" w:eastAsia="Times New Roman" w:hAnsiTheme="majorHAnsi" w:cs="Times New Roman"/>
          <w:lang w:val="en-GB"/>
        </w:rPr>
        <w:t xml:space="preserve"> </w:t>
      </w:r>
    </w:p>
    <w:p w14:paraId="41CA1213" w14:textId="77777777" w:rsidR="00DE0735" w:rsidRPr="005367E0" w:rsidRDefault="00DE0735" w:rsidP="005367E0">
      <w:pPr>
        <w:spacing w:after="120"/>
        <w:jc w:val="both"/>
        <w:rPr>
          <w:rFonts w:asciiTheme="majorHAnsi" w:hAnsiTheme="majorHAnsi" w:cs="Times New Roman"/>
          <w:b/>
          <w:sz w:val="28"/>
          <w:szCs w:val="28"/>
          <w:lang w:val="en-GB"/>
        </w:rPr>
      </w:pPr>
    </w:p>
    <w:p w14:paraId="6B76D884" w14:textId="00243960" w:rsidR="009E3309" w:rsidRPr="005367E0" w:rsidRDefault="009E3309" w:rsidP="007D360C">
      <w:pPr>
        <w:jc w:val="both"/>
        <w:rPr>
          <w:rFonts w:asciiTheme="majorHAnsi" w:hAnsiTheme="majorHAnsi" w:cs="Times New Roman"/>
          <w:b/>
          <w:sz w:val="28"/>
          <w:szCs w:val="28"/>
          <w:lang w:val="en-GB"/>
        </w:rPr>
      </w:pPr>
      <w:r w:rsidRPr="005367E0">
        <w:rPr>
          <w:rFonts w:asciiTheme="majorHAnsi" w:hAnsiTheme="majorHAnsi" w:cs="Times New Roman"/>
          <w:b/>
          <w:sz w:val="28"/>
          <w:szCs w:val="28"/>
          <w:lang w:val="en-GB"/>
        </w:rPr>
        <w:lastRenderedPageBreak/>
        <w:t>Results</w:t>
      </w:r>
    </w:p>
    <w:p w14:paraId="2CD25289" w14:textId="3D7C4831" w:rsidR="007E05F9" w:rsidRPr="005367E0" w:rsidRDefault="002B0817" w:rsidP="002178CB">
      <w:pPr>
        <w:jc w:val="both"/>
        <w:rPr>
          <w:rFonts w:asciiTheme="majorHAnsi" w:hAnsiTheme="majorHAnsi" w:cs="Times New Roman"/>
          <w:i/>
          <w:lang w:val="en-GB"/>
        </w:rPr>
      </w:pPr>
      <w:r w:rsidRPr="005367E0">
        <w:rPr>
          <w:rFonts w:asciiTheme="majorHAnsi" w:hAnsiTheme="majorHAnsi" w:cs="Times New Roman"/>
          <w:i/>
          <w:lang w:val="en-GB"/>
        </w:rPr>
        <w:t xml:space="preserve">Trends in </w:t>
      </w:r>
      <w:r w:rsidR="005367E0">
        <w:rPr>
          <w:rFonts w:asciiTheme="majorHAnsi" w:hAnsiTheme="majorHAnsi" w:cs="Times New Roman"/>
          <w:i/>
          <w:lang w:val="en-GB"/>
        </w:rPr>
        <w:t xml:space="preserve">older </w:t>
      </w:r>
      <w:r w:rsidRPr="005367E0">
        <w:rPr>
          <w:rFonts w:asciiTheme="majorHAnsi" w:hAnsiTheme="majorHAnsi" w:cs="Times New Roman"/>
          <w:i/>
          <w:lang w:val="en-GB"/>
        </w:rPr>
        <w:t xml:space="preserve">population </w:t>
      </w:r>
      <w:r w:rsidR="002178CB" w:rsidRPr="005367E0">
        <w:rPr>
          <w:rFonts w:asciiTheme="majorHAnsi" w:hAnsiTheme="majorHAnsi" w:cs="Times New Roman"/>
          <w:i/>
          <w:lang w:val="en-GB"/>
        </w:rPr>
        <w:t>by living arra</w:t>
      </w:r>
      <w:r w:rsidR="00877867" w:rsidRPr="005367E0">
        <w:rPr>
          <w:rFonts w:asciiTheme="majorHAnsi" w:hAnsiTheme="majorHAnsi" w:cs="Times New Roman"/>
          <w:i/>
          <w:lang w:val="en-GB"/>
        </w:rPr>
        <w:t>n</w:t>
      </w:r>
      <w:r w:rsidR="002178CB" w:rsidRPr="005367E0">
        <w:rPr>
          <w:rFonts w:asciiTheme="majorHAnsi" w:hAnsiTheme="majorHAnsi" w:cs="Times New Roman"/>
          <w:i/>
          <w:lang w:val="en-GB"/>
        </w:rPr>
        <w:t>gements</w:t>
      </w:r>
    </w:p>
    <w:p w14:paraId="3B13BE3E" w14:textId="2E3074C3" w:rsidR="006D56D0" w:rsidRPr="005367E0" w:rsidRDefault="000E5876" w:rsidP="002178CB">
      <w:pPr>
        <w:jc w:val="both"/>
        <w:rPr>
          <w:rFonts w:asciiTheme="majorHAnsi" w:hAnsiTheme="majorHAnsi" w:cs="Times New Roman"/>
          <w:lang w:val="en-GB"/>
        </w:rPr>
      </w:pPr>
      <w:r w:rsidRPr="005367E0">
        <w:rPr>
          <w:rFonts w:asciiTheme="majorHAnsi" w:hAnsiTheme="majorHAnsi" w:cs="Times New Roman"/>
          <w:lang w:val="en-GB"/>
        </w:rPr>
        <w:t xml:space="preserve">The growth of the Belgian </w:t>
      </w:r>
      <w:r w:rsidR="005367E0">
        <w:rPr>
          <w:rFonts w:asciiTheme="majorHAnsi" w:hAnsiTheme="majorHAnsi" w:cs="Times New Roman"/>
          <w:lang w:val="en-GB"/>
        </w:rPr>
        <w:t xml:space="preserve">older </w:t>
      </w:r>
      <w:r w:rsidRPr="005367E0">
        <w:rPr>
          <w:rFonts w:asciiTheme="majorHAnsi" w:hAnsiTheme="majorHAnsi" w:cs="Times New Roman"/>
          <w:lang w:val="en-GB"/>
        </w:rPr>
        <w:t>population</w:t>
      </w:r>
      <w:r w:rsidR="002B0817" w:rsidRPr="005367E0">
        <w:rPr>
          <w:rFonts w:asciiTheme="majorHAnsi" w:hAnsiTheme="majorHAnsi" w:cs="Times New Roman"/>
          <w:lang w:val="en-GB"/>
        </w:rPr>
        <w:t xml:space="preserve"> </w:t>
      </w:r>
      <w:r w:rsidRPr="005367E0">
        <w:rPr>
          <w:rFonts w:asciiTheme="majorHAnsi" w:hAnsiTheme="majorHAnsi" w:cs="Times New Roman"/>
          <w:lang w:val="en-GB"/>
        </w:rPr>
        <w:t xml:space="preserve">is remarkable in the context of the overall population ageing. The share of </w:t>
      </w:r>
      <w:r w:rsidR="002B0817" w:rsidRPr="005367E0">
        <w:rPr>
          <w:rFonts w:asciiTheme="majorHAnsi" w:hAnsiTheme="majorHAnsi" w:cs="Times New Roman"/>
          <w:lang w:val="en-GB"/>
        </w:rPr>
        <w:t>men in this age</w:t>
      </w:r>
      <w:r w:rsidRPr="005367E0">
        <w:rPr>
          <w:rFonts w:asciiTheme="majorHAnsi" w:hAnsiTheme="majorHAnsi" w:cs="Times New Roman"/>
          <w:lang w:val="en-GB"/>
        </w:rPr>
        <w:t xml:space="preserve"> increased </w:t>
      </w:r>
      <w:r w:rsidR="005E16E3" w:rsidRPr="005367E0">
        <w:rPr>
          <w:rFonts w:asciiTheme="majorHAnsi" w:hAnsiTheme="majorHAnsi" w:cs="Times New Roman"/>
          <w:lang w:val="en-GB"/>
        </w:rPr>
        <w:t>by</w:t>
      </w:r>
      <w:r w:rsidRPr="005367E0">
        <w:rPr>
          <w:rFonts w:asciiTheme="majorHAnsi" w:hAnsiTheme="majorHAnsi" w:cs="Times New Roman"/>
          <w:lang w:val="en-GB"/>
        </w:rPr>
        <w:t xml:space="preserve"> </w:t>
      </w:r>
      <w:r w:rsidR="005E16E3" w:rsidRPr="005367E0">
        <w:rPr>
          <w:rFonts w:asciiTheme="majorHAnsi" w:hAnsiTheme="majorHAnsi" w:cs="Times New Roman"/>
          <w:lang w:val="en-GB"/>
        </w:rPr>
        <w:t>35 % between years 1991 and 2013,</w:t>
      </w:r>
      <w:r w:rsidRPr="005367E0">
        <w:rPr>
          <w:rFonts w:asciiTheme="majorHAnsi" w:hAnsiTheme="majorHAnsi" w:cs="Times New Roman"/>
          <w:lang w:val="en-GB"/>
        </w:rPr>
        <w:t xml:space="preserve"> and </w:t>
      </w:r>
      <w:r w:rsidR="002B0817" w:rsidRPr="005367E0">
        <w:rPr>
          <w:rFonts w:asciiTheme="majorHAnsi" w:hAnsiTheme="majorHAnsi" w:cs="Times New Roman"/>
          <w:lang w:val="en-GB"/>
        </w:rPr>
        <w:t xml:space="preserve">of women </w:t>
      </w:r>
      <w:r w:rsidR="005E16E3" w:rsidRPr="005367E0">
        <w:rPr>
          <w:rFonts w:asciiTheme="majorHAnsi" w:hAnsiTheme="majorHAnsi" w:cs="Times New Roman"/>
          <w:lang w:val="en-GB"/>
        </w:rPr>
        <w:t xml:space="preserve">by </w:t>
      </w:r>
      <w:r w:rsidRPr="005367E0">
        <w:rPr>
          <w:rFonts w:asciiTheme="majorHAnsi" w:hAnsiTheme="majorHAnsi" w:cs="Times New Roman"/>
          <w:lang w:val="en-GB"/>
        </w:rPr>
        <w:t>2</w:t>
      </w:r>
      <w:r w:rsidR="005E16E3" w:rsidRPr="005367E0">
        <w:rPr>
          <w:rFonts w:asciiTheme="majorHAnsi" w:hAnsiTheme="majorHAnsi" w:cs="Times New Roman"/>
          <w:lang w:val="en-GB"/>
        </w:rPr>
        <w:t>1</w:t>
      </w:r>
      <w:r w:rsidRPr="005367E0">
        <w:rPr>
          <w:rFonts w:asciiTheme="majorHAnsi" w:hAnsiTheme="majorHAnsi" w:cs="Times New Roman"/>
          <w:lang w:val="en-GB"/>
        </w:rPr>
        <w:t xml:space="preserve">% </w:t>
      </w:r>
      <w:r w:rsidR="00AF3501" w:rsidRPr="005367E0">
        <w:rPr>
          <w:rFonts w:asciiTheme="majorHAnsi" w:hAnsiTheme="majorHAnsi" w:cs="Times New Roman"/>
          <w:lang w:val="en-GB"/>
        </w:rPr>
        <w:t>whereas</w:t>
      </w:r>
      <w:r w:rsidR="007E05F9" w:rsidRPr="005367E0">
        <w:rPr>
          <w:rFonts w:asciiTheme="majorHAnsi" w:hAnsiTheme="majorHAnsi" w:cs="Times New Roman"/>
          <w:lang w:val="en-GB"/>
        </w:rPr>
        <w:t xml:space="preserve"> in absolute numbers </w:t>
      </w:r>
      <w:r w:rsidR="005E16E3" w:rsidRPr="005367E0">
        <w:rPr>
          <w:rFonts w:asciiTheme="majorHAnsi" w:hAnsiTheme="majorHAnsi" w:cs="Times New Roman"/>
          <w:lang w:val="en-GB"/>
        </w:rPr>
        <w:t xml:space="preserve">the </w:t>
      </w:r>
      <w:r w:rsidR="007E05F9" w:rsidRPr="005367E0">
        <w:rPr>
          <w:rFonts w:asciiTheme="majorHAnsi" w:hAnsiTheme="majorHAnsi" w:cs="Times New Roman"/>
          <w:lang w:val="en-GB"/>
        </w:rPr>
        <w:t>increase w</w:t>
      </w:r>
      <w:r w:rsidR="00AF3501" w:rsidRPr="005367E0">
        <w:rPr>
          <w:rFonts w:asciiTheme="majorHAnsi" w:hAnsiTheme="majorHAnsi" w:cs="Times New Roman"/>
          <w:lang w:val="en-GB"/>
        </w:rPr>
        <w:t>as about 300 000 in both gender (Figure 1). This</w:t>
      </w:r>
      <w:r w:rsidRPr="005367E0">
        <w:rPr>
          <w:rFonts w:asciiTheme="majorHAnsi" w:hAnsiTheme="majorHAnsi" w:cs="Times New Roman"/>
          <w:lang w:val="en-GB"/>
        </w:rPr>
        <w:t xml:space="preserve"> increase of the population is</w:t>
      </w:r>
      <w:r w:rsidR="00DE0735" w:rsidRPr="005367E0">
        <w:rPr>
          <w:rFonts w:asciiTheme="majorHAnsi" w:hAnsiTheme="majorHAnsi" w:cs="Times New Roman"/>
          <w:lang w:val="en-GB"/>
        </w:rPr>
        <w:t xml:space="preserve"> due to</w:t>
      </w:r>
      <w:r w:rsidRPr="005367E0">
        <w:rPr>
          <w:rFonts w:asciiTheme="majorHAnsi" w:hAnsiTheme="majorHAnsi" w:cs="Times New Roman"/>
          <w:lang w:val="en-GB"/>
        </w:rPr>
        <w:t xml:space="preserve"> the combined effect of the increasing longevity and </w:t>
      </w:r>
      <w:r w:rsidR="002178CB" w:rsidRPr="005367E0">
        <w:rPr>
          <w:rFonts w:asciiTheme="majorHAnsi" w:hAnsiTheme="majorHAnsi" w:cs="Times New Roman"/>
          <w:lang w:val="en-GB"/>
        </w:rPr>
        <w:t>larger</w:t>
      </w:r>
      <w:r w:rsidRPr="005367E0">
        <w:rPr>
          <w:rFonts w:asciiTheme="majorHAnsi" w:hAnsiTheme="majorHAnsi" w:cs="Times New Roman"/>
          <w:lang w:val="en-GB"/>
        </w:rPr>
        <w:t xml:space="preserve"> cohorts reaching in </w:t>
      </w:r>
      <w:r w:rsidR="00B85319" w:rsidRPr="005367E0">
        <w:rPr>
          <w:rFonts w:asciiTheme="majorHAnsi" w:hAnsiTheme="majorHAnsi" w:cs="Times New Roman"/>
          <w:lang w:val="en-GB"/>
        </w:rPr>
        <w:t>older</w:t>
      </w:r>
      <w:r w:rsidRPr="005367E0">
        <w:rPr>
          <w:rFonts w:asciiTheme="majorHAnsi" w:hAnsiTheme="majorHAnsi" w:cs="Times New Roman"/>
          <w:lang w:val="en-GB"/>
        </w:rPr>
        <w:t xml:space="preserve"> ages. </w:t>
      </w:r>
    </w:p>
    <w:p w14:paraId="4B1A5889" w14:textId="77777777" w:rsidR="00977DE6" w:rsidRPr="005367E0" w:rsidRDefault="00977DE6" w:rsidP="004F0268">
      <w:pPr>
        <w:rPr>
          <w:rFonts w:asciiTheme="majorHAnsi" w:hAnsiTheme="majorHAnsi" w:cs="Times New Roman"/>
          <w:b/>
          <w:i/>
          <w:sz w:val="22"/>
          <w:szCs w:val="22"/>
          <w:lang w:val="en-GB"/>
        </w:rPr>
      </w:pPr>
    </w:p>
    <w:p w14:paraId="23FC34C2" w14:textId="13A8B216" w:rsidR="000E5876" w:rsidRPr="005367E0" w:rsidRDefault="000E5876" w:rsidP="004F0268">
      <w:pPr>
        <w:rPr>
          <w:rFonts w:asciiTheme="majorHAnsi" w:hAnsiTheme="majorHAnsi" w:cs="Times New Roman"/>
          <w:b/>
          <w:i/>
          <w:sz w:val="22"/>
          <w:szCs w:val="22"/>
          <w:lang w:val="en-GB"/>
        </w:rPr>
      </w:pPr>
      <w:r w:rsidRPr="005367E0">
        <w:rPr>
          <w:rFonts w:asciiTheme="majorHAnsi" w:hAnsiTheme="majorHAnsi" w:cs="Times New Roman"/>
          <w:b/>
          <w:i/>
          <w:sz w:val="22"/>
          <w:szCs w:val="22"/>
          <w:lang w:val="en-GB"/>
        </w:rPr>
        <w:t>Figure 1. Absolute and relative increases of the male and female populations aged 6</w:t>
      </w:r>
      <w:r w:rsidR="00C40654">
        <w:rPr>
          <w:rFonts w:asciiTheme="majorHAnsi" w:hAnsiTheme="majorHAnsi" w:cs="Times New Roman"/>
          <w:b/>
          <w:i/>
          <w:sz w:val="22"/>
          <w:szCs w:val="22"/>
          <w:lang w:val="en-GB"/>
        </w:rPr>
        <w:t>0</w:t>
      </w:r>
      <w:r w:rsidRPr="005367E0">
        <w:rPr>
          <w:rFonts w:asciiTheme="majorHAnsi" w:hAnsiTheme="majorHAnsi" w:cs="Times New Roman"/>
          <w:b/>
          <w:i/>
          <w:sz w:val="22"/>
          <w:szCs w:val="22"/>
          <w:lang w:val="en-GB"/>
        </w:rPr>
        <w:t xml:space="preserve"> and over from 1991 till 2013.</w:t>
      </w:r>
    </w:p>
    <w:p w14:paraId="1D80AC47" w14:textId="3AA8BCD8" w:rsidR="000E5876" w:rsidRPr="005367E0" w:rsidRDefault="00C45AFF" w:rsidP="007D360C">
      <w:pPr>
        <w:jc w:val="center"/>
        <w:rPr>
          <w:rFonts w:asciiTheme="majorHAnsi" w:hAnsiTheme="majorHAnsi" w:cs="Times New Roman"/>
          <w:lang w:val="en-GB"/>
        </w:rPr>
      </w:pPr>
      <w:r w:rsidRPr="005367E0">
        <w:rPr>
          <w:rFonts w:asciiTheme="majorHAnsi" w:hAnsiTheme="majorHAnsi" w:cs="Times New Roman"/>
          <w:noProof/>
          <w:lang w:val="fr-BE" w:eastAsia="fr-BE"/>
        </w:rPr>
        <w:drawing>
          <wp:inline distT="0" distB="0" distL="0" distR="0" wp14:anchorId="797985A4" wp14:editId="6D85A0EE">
            <wp:extent cx="3201670" cy="2091773"/>
            <wp:effectExtent l="0" t="0" r="0" b="381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8221" cy="2102586"/>
                    </a:xfrm>
                    <a:prstGeom prst="rect">
                      <a:avLst/>
                    </a:prstGeom>
                    <a:noFill/>
                  </pic:spPr>
                </pic:pic>
              </a:graphicData>
            </a:graphic>
          </wp:inline>
        </w:drawing>
      </w:r>
    </w:p>
    <w:p w14:paraId="14106FAD" w14:textId="77777777" w:rsidR="007D360C" w:rsidRPr="005367E0" w:rsidRDefault="007D360C" w:rsidP="007D360C">
      <w:pPr>
        <w:jc w:val="both"/>
        <w:rPr>
          <w:rFonts w:asciiTheme="majorHAnsi" w:hAnsiTheme="majorHAnsi" w:cs="Times New Roman"/>
          <w:i/>
          <w:lang w:val="en-GB"/>
        </w:rPr>
      </w:pPr>
    </w:p>
    <w:p w14:paraId="674E9DDC" w14:textId="77C4D5C1" w:rsidR="00AF3501" w:rsidRPr="005367E0" w:rsidRDefault="007E05F9" w:rsidP="009156F4">
      <w:pPr>
        <w:jc w:val="both"/>
        <w:rPr>
          <w:rFonts w:asciiTheme="majorHAnsi" w:hAnsiTheme="majorHAnsi" w:cs="Times New Roman"/>
          <w:lang w:val="en-GB"/>
        </w:rPr>
      </w:pPr>
      <w:r w:rsidRPr="005367E0">
        <w:rPr>
          <w:rFonts w:asciiTheme="majorHAnsi" w:hAnsiTheme="majorHAnsi" w:cs="Times New Roman"/>
          <w:lang w:val="en-GB"/>
        </w:rPr>
        <w:t xml:space="preserve">As the absolute number of older population increases, we may expect the respective increase in total numbers in each living arrangement accordingly. </w:t>
      </w:r>
      <w:r w:rsidR="00EF1A2D" w:rsidRPr="005367E0">
        <w:rPr>
          <w:rFonts w:asciiTheme="majorHAnsi" w:hAnsiTheme="majorHAnsi" w:cs="Times New Roman"/>
          <w:lang w:val="en-GB"/>
        </w:rPr>
        <w:t xml:space="preserve"> Yet, such trend </w:t>
      </w:r>
      <w:r w:rsidR="00030402" w:rsidRPr="005367E0">
        <w:rPr>
          <w:rFonts w:asciiTheme="majorHAnsi" w:hAnsiTheme="majorHAnsi" w:cs="Times New Roman"/>
          <w:lang w:val="en-GB"/>
        </w:rPr>
        <w:t>does</w:t>
      </w:r>
      <w:r w:rsidR="00EF1A2D" w:rsidRPr="005367E0">
        <w:rPr>
          <w:rFonts w:asciiTheme="majorHAnsi" w:hAnsiTheme="majorHAnsi" w:cs="Times New Roman"/>
          <w:lang w:val="en-GB"/>
        </w:rPr>
        <w:t xml:space="preserve"> not appear in all living arrangements equally. A</w:t>
      </w:r>
      <w:r w:rsidR="00BA64B5" w:rsidRPr="005367E0">
        <w:rPr>
          <w:rFonts w:asciiTheme="majorHAnsi" w:hAnsiTheme="majorHAnsi" w:cs="Times New Roman"/>
          <w:lang w:val="en-GB"/>
        </w:rPr>
        <w:t xml:space="preserve">bsolute numbers </w:t>
      </w:r>
      <w:r w:rsidR="00EF1A2D" w:rsidRPr="005367E0">
        <w:rPr>
          <w:rFonts w:asciiTheme="majorHAnsi" w:hAnsiTheme="majorHAnsi" w:cs="Times New Roman"/>
          <w:lang w:val="en-GB"/>
        </w:rPr>
        <w:t>reveal that number of</w:t>
      </w:r>
      <w:r w:rsidR="00BA64B5" w:rsidRPr="005367E0">
        <w:rPr>
          <w:rFonts w:asciiTheme="majorHAnsi" w:hAnsiTheme="majorHAnsi" w:cs="Times New Roman"/>
          <w:lang w:val="en-GB"/>
        </w:rPr>
        <w:t xml:space="preserve"> older people </w:t>
      </w:r>
      <w:r w:rsidR="00EF1A2D" w:rsidRPr="005367E0">
        <w:rPr>
          <w:rFonts w:asciiTheme="majorHAnsi" w:hAnsiTheme="majorHAnsi" w:cs="Times New Roman"/>
          <w:lang w:val="en-GB"/>
        </w:rPr>
        <w:t xml:space="preserve">who </w:t>
      </w:r>
      <w:r w:rsidR="00BA64B5" w:rsidRPr="005367E0">
        <w:rPr>
          <w:rFonts w:asciiTheme="majorHAnsi" w:hAnsiTheme="majorHAnsi" w:cs="Times New Roman"/>
          <w:lang w:val="en-GB"/>
        </w:rPr>
        <w:t xml:space="preserve">live with a spouse </w:t>
      </w:r>
      <w:r w:rsidR="00EF1A2D" w:rsidRPr="005367E0">
        <w:rPr>
          <w:rFonts w:asciiTheme="majorHAnsi" w:hAnsiTheme="majorHAnsi" w:cs="Times New Roman"/>
          <w:lang w:val="en-GB"/>
        </w:rPr>
        <w:t>has increased compared with</w:t>
      </w:r>
      <w:r w:rsidR="00BA64B5" w:rsidRPr="005367E0">
        <w:rPr>
          <w:rFonts w:asciiTheme="majorHAnsi" w:hAnsiTheme="majorHAnsi" w:cs="Times New Roman"/>
          <w:lang w:val="en-GB"/>
        </w:rPr>
        <w:t xml:space="preserve"> the beginning of the 1990s. </w:t>
      </w:r>
      <w:r w:rsidR="00EF1A2D" w:rsidRPr="005367E0">
        <w:rPr>
          <w:rFonts w:asciiTheme="majorHAnsi" w:hAnsiTheme="majorHAnsi" w:cs="Times New Roman"/>
          <w:lang w:val="en-GB"/>
        </w:rPr>
        <w:t>I</w:t>
      </w:r>
      <w:r w:rsidR="00556D71" w:rsidRPr="005367E0">
        <w:rPr>
          <w:rFonts w:asciiTheme="majorHAnsi" w:hAnsiTheme="majorHAnsi" w:cs="Times New Roman"/>
          <w:lang w:val="en-GB"/>
        </w:rPr>
        <w:t xml:space="preserve">n relative terms the number of men living with </w:t>
      </w:r>
      <w:r w:rsidR="00193894" w:rsidRPr="005367E0">
        <w:rPr>
          <w:rFonts w:asciiTheme="majorHAnsi" w:hAnsiTheme="majorHAnsi" w:cs="Times New Roman"/>
          <w:lang w:val="en-GB"/>
        </w:rPr>
        <w:t>a spouse</w:t>
      </w:r>
      <w:r w:rsidR="00556D71" w:rsidRPr="005367E0">
        <w:rPr>
          <w:rFonts w:asciiTheme="majorHAnsi" w:hAnsiTheme="majorHAnsi" w:cs="Times New Roman"/>
          <w:lang w:val="en-GB"/>
        </w:rPr>
        <w:t xml:space="preserve"> almost did not change while the share of women living with </w:t>
      </w:r>
      <w:r w:rsidR="00EF1A2D" w:rsidRPr="005367E0">
        <w:rPr>
          <w:rFonts w:asciiTheme="majorHAnsi" w:hAnsiTheme="majorHAnsi" w:cs="Times New Roman"/>
          <w:lang w:val="en-GB"/>
        </w:rPr>
        <w:t>a spouse</w:t>
      </w:r>
      <w:r w:rsidR="00556D71" w:rsidRPr="005367E0">
        <w:rPr>
          <w:rFonts w:asciiTheme="majorHAnsi" w:hAnsiTheme="majorHAnsi" w:cs="Times New Roman"/>
          <w:lang w:val="en-GB"/>
        </w:rPr>
        <w:t xml:space="preserve"> increased remarkably – 20% more women lived with spouse in 2013 compared to 1991</w:t>
      </w:r>
      <w:r w:rsidR="00BB5911" w:rsidRPr="005367E0">
        <w:rPr>
          <w:rFonts w:asciiTheme="majorHAnsi" w:hAnsiTheme="majorHAnsi" w:cs="Times New Roman"/>
          <w:lang w:val="en-GB"/>
        </w:rPr>
        <w:t xml:space="preserve">. </w:t>
      </w:r>
      <w:r w:rsidR="00556D71" w:rsidRPr="005367E0">
        <w:rPr>
          <w:rFonts w:asciiTheme="majorHAnsi" w:hAnsiTheme="majorHAnsi" w:cs="Times New Roman"/>
          <w:lang w:val="en-GB"/>
        </w:rPr>
        <w:t xml:space="preserve">This refers to an important improvement in survival of men that mostly took place within first half of </w:t>
      </w:r>
      <w:r w:rsidR="00DE0735" w:rsidRPr="005367E0">
        <w:rPr>
          <w:rFonts w:asciiTheme="majorHAnsi" w:hAnsiTheme="majorHAnsi" w:cs="Times New Roman"/>
          <w:lang w:val="en-GB"/>
        </w:rPr>
        <w:t xml:space="preserve">the observed period. </w:t>
      </w:r>
      <w:r w:rsidR="00556D71" w:rsidRPr="005367E0">
        <w:rPr>
          <w:rFonts w:asciiTheme="majorHAnsi" w:hAnsiTheme="majorHAnsi" w:cs="Times New Roman"/>
          <w:lang w:val="en-GB"/>
        </w:rPr>
        <w:t xml:space="preserve">Men and women </w:t>
      </w:r>
      <w:r w:rsidR="004F0268" w:rsidRPr="005367E0">
        <w:rPr>
          <w:rFonts w:asciiTheme="majorHAnsi" w:hAnsiTheme="majorHAnsi" w:cs="Times New Roman"/>
          <w:lang w:val="en-GB"/>
        </w:rPr>
        <w:t xml:space="preserve">living </w:t>
      </w:r>
      <w:r w:rsidR="00556D71" w:rsidRPr="005367E0">
        <w:rPr>
          <w:rFonts w:asciiTheme="majorHAnsi" w:hAnsiTheme="majorHAnsi" w:cs="Times New Roman"/>
          <w:lang w:val="en-GB"/>
        </w:rPr>
        <w:t xml:space="preserve">alone showed </w:t>
      </w:r>
      <w:r w:rsidR="00AF3501" w:rsidRPr="005367E0">
        <w:rPr>
          <w:rFonts w:asciiTheme="majorHAnsi" w:hAnsiTheme="majorHAnsi" w:cs="Times New Roman"/>
          <w:lang w:val="en-GB"/>
        </w:rPr>
        <w:t xml:space="preserve">an </w:t>
      </w:r>
      <w:r w:rsidR="00556D71" w:rsidRPr="005367E0">
        <w:rPr>
          <w:rFonts w:asciiTheme="majorHAnsi" w:hAnsiTheme="majorHAnsi" w:cs="Times New Roman"/>
          <w:lang w:val="en-GB"/>
        </w:rPr>
        <w:t xml:space="preserve">increase in absolute numbers, </w:t>
      </w:r>
      <w:r w:rsidR="00DE0735" w:rsidRPr="005367E0">
        <w:rPr>
          <w:rFonts w:asciiTheme="majorHAnsi" w:hAnsiTheme="majorHAnsi" w:cs="Times New Roman"/>
          <w:lang w:val="en-GB"/>
        </w:rPr>
        <w:t>yet a relative</w:t>
      </w:r>
      <w:r w:rsidR="00AF3501" w:rsidRPr="005367E0">
        <w:rPr>
          <w:rFonts w:asciiTheme="majorHAnsi" w:hAnsiTheme="majorHAnsi" w:cs="Times New Roman"/>
          <w:lang w:val="en-GB"/>
        </w:rPr>
        <w:t xml:space="preserve"> decrease</w:t>
      </w:r>
      <w:r w:rsidR="00DE0735" w:rsidRPr="005367E0">
        <w:rPr>
          <w:rFonts w:asciiTheme="majorHAnsi" w:hAnsiTheme="majorHAnsi" w:cs="Times New Roman"/>
          <w:lang w:val="en-GB"/>
        </w:rPr>
        <w:t xml:space="preserve"> is observed</w:t>
      </w:r>
      <w:r w:rsidR="00556D71" w:rsidRPr="005367E0">
        <w:rPr>
          <w:rFonts w:asciiTheme="majorHAnsi" w:hAnsiTheme="majorHAnsi" w:cs="Times New Roman"/>
          <w:lang w:val="en-GB"/>
        </w:rPr>
        <w:t xml:space="preserve"> </w:t>
      </w:r>
      <w:r w:rsidR="00BA64B5" w:rsidRPr="005367E0">
        <w:rPr>
          <w:rFonts w:asciiTheme="majorHAnsi" w:hAnsiTheme="majorHAnsi" w:cs="Times New Roman"/>
          <w:lang w:val="en-GB"/>
        </w:rPr>
        <w:t>during the</w:t>
      </w:r>
      <w:r w:rsidR="00556D71" w:rsidRPr="005367E0">
        <w:rPr>
          <w:rFonts w:asciiTheme="majorHAnsi" w:hAnsiTheme="majorHAnsi" w:cs="Times New Roman"/>
          <w:lang w:val="en-GB"/>
        </w:rPr>
        <w:t xml:space="preserve"> first half of </w:t>
      </w:r>
      <w:r w:rsidR="00BA64B5" w:rsidRPr="005367E0">
        <w:rPr>
          <w:rFonts w:asciiTheme="majorHAnsi" w:hAnsiTheme="majorHAnsi" w:cs="Times New Roman"/>
          <w:lang w:val="en-GB"/>
        </w:rPr>
        <w:t>the period</w:t>
      </w:r>
      <w:r w:rsidR="00DE0735" w:rsidRPr="005367E0">
        <w:rPr>
          <w:rFonts w:asciiTheme="majorHAnsi" w:hAnsiTheme="majorHAnsi" w:cs="Times New Roman"/>
          <w:lang w:val="en-GB"/>
        </w:rPr>
        <w:t xml:space="preserve"> and t</w:t>
      </w:r>
      <w:r w:rsidR="00556D71" w:rsidRPr="005367E0">
        <w:rPr>
          <w:rFonts w:asciiTheme="majorHAnsi" w:hAnsiTheme="majorHAnsi" w:cs="Times New Roman"/>
          <w:lang w:val="en-GB"/>
        </w:rPr>
        <w:t xml:space="preserve">his decrease was more pronounced for women. For men the share of living alone dropped only slightly and started to increase quite rapidly in turn of millennium. Living with child or other persons but without spouse became less frequent in relative terms among both men and women. </w:t>
      </w:r>
      <w:r w:rsidR="008061F9" w:rsidRPr="005367E0">
        <w:rPr>
          <w:rFonts w:asciiTheme="majorHAnsi" w:hAnsiTheme="majorHAnsi" w:cs="Times New Roman"/>
          <w:lang w:val="en-GB"/>
        </w:rPr>
        <w:t>T</w:t>
      </w:r>
      <w:r w:rsidR="00556D71" w:rsidRPr="005367E0">
        <w:rPr>
          <w:rFonts w:asciiTheme="majorHAnsi" w:hAnsiTheme="majorHAnsi" w:cs="Times New Roman"/>
          <w:lang w:val="en-GB"/>
        </w:rPr>
        <w:t xml:space="preserve">he only private living arrangements were both men and women demonstrated increase compared to 1991 level was living with an unmarried partner, </w:t>
      </w:r>
      <w:r w:rsidR="00DE0735" w:rsidRPr="005367E0">
        <w:rPr>
          <w:rFonts w:asciiTheme="majorHAnsi" w:hAnsiTheme="majorHAnsi" w:cs="Times New Roman"/>
          <w:lang w:val="en-GB"/>
        </w:rPr>
        <w:t>this living arrangement reached</w:t>
      </w:r>
      <w:r w:rsidR="00556D71" w:rsidRPr="005367E0">
        <w:rPr>
          <w:rFonts w:asciiTheme="majorHAnsi" w:hAnsiTheme="majorHAnsi" w:cs="Times New Roman"/>
          <w:lang w:val="en-GB"/>
        </w:rPr>
        <w:t xml:space="preserve"> almost </w:t>
      </w:r>
      <w:r w:rsidR="00341527" w:rsidRPr="005367E0">
        <w:rPr>
          <w:rFonts w:asciiTheme="majorHAnsi" w:hAnsiTheme="majorHAnsi" w:cs="Times New Roman"/>
          <w:lang w:val="en-GB"/>
        </w:rPr>
        <w:t xml:space="preserve">a </w:t>
      </w:r>
      <w:r w:rsidR="00556D71" w:rsidRPr="005367E0">
        <w:rPr>
          <w:rFonts w:asciiTheme="majorHAnsi" w:hAnsiTheme="majorHAnsi" w:cs="Times New Roman"/>
          <w:lang w:val="en-GB"/>
        </w:rPr>
        <w:t xml:space="preserve">58% higher level for men and 47% for women. In conclusion, </w:t>
      </w:r>
      <w:r w:rsidR="00341527" w:rsidRPr="005367E0">
        <w:rPr>
          <w:rFonts w:asciiTheme="majorHAnsi" w:hAnsiTheme="majorHAnsi" w:cs="Times New Roman"/>
          <w:lang w:val="en-GB"/>
        </w:rPr>
        <w:t>we observe a</w:t>
      </w:r>
      <w:r w:rsidR="009156F4" w:rsidRPr="005367E0">
        <w:rPr>
          <w:rFonts w:asciiTheme="majorHAnsi" w:hAnsiTheme="majorHAnsi" w:cs="Times New Roman"/>
          <w:lang w:val="en-GB"/>
        </w:rPr>
        <w:t>n</w:t>
      </w:r>
      <w:r w:rsidR="00556D71" w:rsidRPr="005367E0">
        <w:rPr>
          <w:rFonts w:asciiTheme="majorHAnsi" w:hAnsiTheme="majorHAnsi" w:cs="Times New Roman"/>
          <w:lang w:val="en-GB"/>
        </w:rPr>
        <w:t xml:space="preserve"> increase of </w:t>
      </w:r>
      <w:r w:rsidR="008E3A91" w:rsidRPr="005367E0">
        <w:rPr>
          <w:rFonts w:asciiTheme="majorHAnsi" w:hAnsiTheme="majorHAnsi" w:cs="Times New Roman"/>
          <w:lang w:val="en-GB"/>
        </w:rPr>
        <w:t>older people</w:t>
      </w:r>
      <w:r w:rsidR="00556D71" w:rsidRPr="005367E0">
        <w:rPr>
          <w:rFonts w:asciiTheme="majorHAnsi" w:hAnsiTheme="majorHAnsi" w:cs="Times New Roman"/>
          <w:lang w:val="en-GB"/>
        </w:rPr>
        <w:t xml:space="preserve"> living alone and living with spou</w:t>
      </w:r>
      <w:r w:rsidR="008061F9" w:rsidRPr="005367E0">
        <w:rPr>
          <w:rFonts w:asciiTheme="majorHAnsi" w:hAnsiTheme="majorHAnsi" w:cs="Times New Roman"/>
          <w:lang w:val="en-GB"/>
        </w:rPr>
        <w:t>se or with an unmarried partner</w:t>
      </w:r>
      <w:r w:rsidR="00556D71" w:rsidRPr="005367E0">
        <w:rPr>
          <w:rFonts w:asciiTheme="majorHAnsi" w:hAnsiTheme="majorHAnsi" w:cs="Times New Roman"/>
          <w:lang w:val="en-GB"/>
        </w:rPr>
        <w:t xml:space="preserve"> </w:t>
      </w:r>
      <w:r w:rsidR="00341527" w:rsidRPr="005367E0">
        <w:rPr>
          <w:rFonts w:asciiTheme="majorHAnsi" w:hAnsiTheme="majorHAnsi" w:cs="Times New Roman"/>
          <w:lang w:val="en-GB"/>
        </w:rPr>
        <w:t>compared to relatively smaller ch</w:t>
      </w:r>
      <w:r w:rsidR="00556D71" w:rsidRPr="005367E0">
        <w:rPr>
          <w:rFonts w:asciiTheme="majorHAnsi" w:hAnsiTheme="majorHAnsi" w:cs="Times New Roman"/>
          <w:lang w:val="en-GB"/>
        </w:rPr>
        <w:t xml:space="preserve">anges in </w:t>
      </w:r>
      <w:r w:rsidR="00341527" w:rsidRPr="005367E0">
        <w:rPr>
          <w:rFonts w:asciiTheme="majorHAnsi" w:hAnsiTheme="majorHAnsi" w:cs="Times New Roman"/>
          <w:lang w:val="en-GB"/>
        </w:rPr>
        <w:t xml:space="preserve">the </w:t>
      </w:r>
      <w:r w:rsidR="00556D71" w:rsidRPr="005367E0">
        <w:rPr>
          <w:rFonts w:asciiTheme="majorHAnsi" w:hAnsiTheme="majorHAnsi" w:cs="Times New Roman"/>
          <w:lang w:val="en-GB"/>
        </w:rPr>
        <w:t>number of persons in other living arrangements</w:t>
      </w:r>
      <w:r w:rsidR="00341527" w:rsidRPr="005367E0">
        <w:rPr>
          <w:rFonts w:asciiTheme="majorHAnsi" w:hAnsiTheme="majorHAnsi" w:cs="Times New Roman"/>
          <w:lang w:val="en-GB"/>
        </w:rPr>
        <w:t xml:space="preserve"> including in collective households</w:t>
      </w:r>
      <w:r w:rsidR="00556D71" w:rsidRPr="005367E0">
        <w:rPr>
          <w:rFonts w:asciiTheme="majorHAnsi" w:hAnsiTheme="majorHAnsi" w:cs="Times New Roman"/>
          <w:lang w:val="en-GB"/>
        </w:rPr>
        <w:t xml:space="preserve">. </w:t>
      </w:r>
    </w:p>
    <w:p w14:paraId="1FD13567" w14:textId="3A4EF12E" w:rsidR="008061F9" w:rsidRPr="005367E0" w:rsidRDefault="008061F9" w:rsidP="004F0268">
      <w:pPr>
        <w:widowControl w:val="0"/>
        <w:autoSpaceDE w:val="0"/>
        <w:autoSpaceDN w:val="0"/>
        <w:adjustRightInd w:val="0"/>
        <w:jc w:val="both"/>
        <w:rPr>
          <w:rFonts w:asciiTheme="majorHAnsi" w:hAnsiTheme="majorHAnsi" w:cs="Times New Roman"/>
          <w:lang w:val="en-GB"/>
        </w:rPr>
      </w:pPr>
    </w:p>
    <w:p w14:paraId="068A9D74" w14:textId="06732606" w:rsidR="007E05F9" w:rsidRDefault="007E05F9" w:rsidP="007D360C">
      <w:pPr>
        <w:jc w:val="both"/>
        <w:rPr>
          <w:rFonts w:asciiTheme="majorHAnsi" w:hAnsiTheme="majorHAnsi" w:cs="Times New Roman"/>
          <w:i/>
          <w:lang w:val="en-US"/>
        </w:rPr>
      </w:pPr>
      <w:r w:rsidRPr="005367E0">
        <w:rPr>
          <w:rFonts w:asciiTheme="majorHAnsi" w:hAnsiTheme="majorHAnsi" w:cs="Times New Roman"/>
          <w:i/>
          <w:lang w:val="en-US"/>
        </w:rPr>
        <w:t>Change in mortality</w:t>
      </w:r>
      <w:r w:rsidR="00AF3501" w:rsidRPr="005367E0">
        <w:rPr>
          <w:rFonts w:asciiTheme="majorHAnsi" w:hAnsiTheme="majorHAnsi" w:cs="Times New Roman"/>
          <w:i/>
          <w:lang w:val="en-US"/>
        </w:rPr>
        <w:t xml:space="preserve"> risk</w:t>
      </w:r>
      <w:r w:rsidRPr="005367E0">
        <w:rPr>
          <w:rFonts w:asciiTheme="majorHAnsi" w:hAnsiTheme="majorHAnsi" w:cs="Times New Roman"/>
          <w:i/>
          <w:lang w:val="en-US"/>
        </w:rPr>
        <w:t xml:space="preserve"> of population 60 </w:t>
      </w:r>
      <w:r w:rsidR="00AF3501" w:rsidRPr="005367E0">
        <w:rPr>
          <w:rFonts w:asciiTheme="majorHAnsi" w:hAnsiTheme="majorHAnsi" w:cs="Times New Roman"/>
          <w:i/>
          <w:lang w:val="en-US"/>
        </w:rPr>
        <w:t>by living arrangements</w:t>
      </w:r>
    </w:p>
    <w:p w14:paraId="13D82555" w14:textId="1941824A" w:rsidR="00341527" w:rsidRPr="005367E0" w:rsidRDefault="00EF1FF3" w:rsidP="007D360C">
      <w:pPr>
        <w:jc w:val="both"/>
        <w:rPr>
          <w:rFonts w:asciiTheme="majorHAnsi" w:hAnsiTheme="majorHAnsi" w:cs="Times New Roman"/>
          <w:lang w:val="en-US"/>
        </w:rPr>
      </w:pPr>
      <w:r w:rsidRPr="005367E0">
        <w:rPr>
          <w:rFonts w:asciiTheme="majorHAnsi" w:hAnsiTheme="majorHAnsi" w:cs="Times New Roman"/>
          <w:lang w:val="en-US"/>
        </w:rPr>
        <w:t>We used survival analysis to identify trends in mortality risks by living arrangements</w:t>
      </w:r>
      <w:r w:rsidR="009156F4" w:rsidRPr="005367E0">
        <w:rPr>
          <w:rFonts w:asciiTheme="majorHAnsi" w:hAnsiTheme="majorHAnsi" w:cs="Times New Roman"/>
          <w:lang w:val="en-US"/>
        </w:rPr>
        <w:t xml:space="preserve">. </w:t>
      </w:r>
      <w:r w:rsidRPr="005367E0">
        <w:rPr>
          <w:rFonts w:asciiTheme="majorHAnsi" w:hAnsiTheme="majorHAnsi" w:cs="Times New Roman"/>
          <w:lang w:val="en-US"/>
        </w:rPr>
        <w:t xml:space="preserve"> </w:t>
      </w:r>
      <w:r w:rsidR="009156F4" w:rsidRPr="005367E0">
        <w:rPr>
          <w:rFonts w:asciiTheme="majorHAnsi" w:hAnsiTheme="majorHAnsi" w:cs="Times New Roman"/>
          <w:lang w:val="en-US"/>
        </w:rPr>
        <w:t>F</w:t>
      </w:r>
      <w:r w:rsidRPr="005367E0">
        <w:rPr>
          <w:rFonts w:asciiTheme="majorHAnsi" w:hAnsiTheme="majorHAnsi" w:cs="Times New Roman"/>
          <w:lang w:val="en-US"/>
        </w:rPr>
        <w:t>igures 2a and 2b, respectively for men and women, s</w:t>
      </w:r>
      <w:r w:rsidR="009156F4" w:rsidRPr="005367E0">
        <w:rPr>
          <w:rFonts w:asciiTheme="majorHAnsi" w:hAnsiTheme="majorHAnsi" w:cs="Times New Roman"/>
          <w:lang w:val="en-US"/>
        </w:rPr>
        <w:t>how for each living arrangement</w:t>
      </w:r>
      <w:r w:rsidRPr="005367E0">
        <w:rPr>
          <w:rFonts w:asciiTheme="majorHAnsi" w:hAnsiTheme="majorHAnsi" w:cs="Times New Roman"/>
          <w:lang w:val="en-US"/>
        </w:rPr>
        <w:t xml:space="preserve"> the odds to die during one year by year with 1991 as refe</w:t>
      </w:r>
      <w:r w:rsidR="00C40654">
        <w:rPr>
          <w:rFonts w:asciiTheme="majorHAnsi" w:hAnsiTheme="majorHAnsi" w:cs="Times New Roman"/>
          <w:lang w:val="en-US"/>
        </w:rPr>
        <w:t xml:space="preserve">rence. For both men and women, </w:t>
      </w:r>
      <w:r w:rsidRPr="005367E0">
        <w:rPr>
          <w:rFonts w:asciiTheme="majorHAnsi" w:hAnsiTheme="majorHAnsi" w:cs="Times New Roman"/>
          <w:lang w:val="en-US"/>
        </w:rPr>
        <w:t xml:space="preserve">the mortality risks decreased linearly for all living alone or living with others in private household whereas it </w:t>
      </w:r>
      <w:r w:rsidR="008B2893" w:rsidRPr="005367E0">
        <w:rPr>
          <w:rFonts w:asciiTheme="majorHAnsi" w:hAnsiTheme="majorHAnsi" w:cs="Times New Roman"/>
          <w:lang w:val="en-US"/>
        </w:rPr>
        <w:t xml:space="preserve">did not change or even increase for those living in collective </w:t>
      </w:r>
      <w:r w:rsidR="009156F4" w:rsidRPr="005367E0">
        <w:rPr>
          <w:rFonts w:asciiTheme="majorHAnsi" w:hAnsiTheme="majorHAnsi" w:cs="Times New Roman"/>
          <w:lang w:val="en-US"/>
        </w:rPr>
        <w:t>households. The worse situation</w:t>
      </w:r>
      <w:r w:rsidR="008B2893" w:rsidRPr="005367E0">
        <w:rPr>
          <w:rFonts w:asciiTheme="majorHAnsi" w:hAnsiTheme="majorHAnsi" w:cs="Times New Roman"/>
          <w:lang w:val="en-US"/>
        </w:rPr>
        <w:t xml:space="preserve"> </w:t>
      </w:r>
      <w:r w:rsidR="008B2893" w:rsidRPr="005367E0">
        <w:rPr>
          <w:rFonts w:asciiTheme="majorHAnsi" w:hAnsiTheme="majorHAnsi" w:cs="Times New Roman"/>
          <w:lang w:val="en-US"/>
        </w:rPr>
        <w:lastRenderedPageBreak/>
        <w:t>concern married men and divorced women in collective household</w:t>
      </w:r>
      <w:r w:rsidR="009156F4" w:rsidRPr="005367E0">
        <w:rPr>
          <w:rFonts w:asciiTheme="majorHAnsi" w:hAnsiTheme="majorHAnsi" w:cs="Times New Roman"/>
          <w:lang w:val="en-US"/>
        </w:rPr>
        <w:t>.</w:t>
      </w:r>
      <w:r w:rsidR="008B2893" w:rsidRPr="005367E0">
        <w:rPr>
          <w:rFonts w:asciiTheme="majorHAnsi" w:hAnsiTheme="majorHAnsi" w:cs="Times New Roman"/>
          <w:lang w:val="en-US"/>
        </w:rPr>
        <w:t xml:space="preserve"> </w:t>
      </w:r>
      <w:r w:rsidR="009156F4" w:rsidRPr="005367E0">
        <w:rPr>
          <w:rFonts w:asciiTheme="majorHAnsi" w:hAnsiTheme="majorHAnsi" w:cs="Times New Roman"/>
          <w:lang w:val="en-US"/>
        </w:rPr>
        <w:t>A</w:t>
      </w:r>
      <w:r w:rsidR="008B2893" w:rsidRPr="005367E0">
        <w:rPr>
          <w:rFonts w:asciiTheme="majorHAnsi" w:hAnsiTheme="majorHAnsi" w:cs="Times New Roman"/>
          <w:lang w:val="en-US"/>
        </w:rPr>
        <w:t xml:space="preserve"> larger improvement is found for men living with a spouse or with partner and for women living with a spouse. For these groups the mortality risks show a decrease of 40% between 1991 and 2012.</w:t>
      </w:r>
    </w:p>
    <w:p w14:paraId="7E122550" w14:textId="77777777" w:rsidR="00341527" w:rsidRPr="005367E0" w:rsidRDefault="00341527" w:rsidP="007D360C">
      <w:pPr>
        <w:jc w:val="both"/>
        <w:rPr>
          <w:rFonts w:asciiTheme="majorHAnsi" w:hAnsiTheme="majorHAnsi" w:cs="Times New Roman"/>
          <w:b/>
          <w:i/>
          <w:lang w:val="en-US"/>
        </w:rPr>
      </w:pPr>
    </w:p>
    <w:p w14:paraId="53FC5E0E" w14:textId="5720418F" w:rsidR="007E05F9" w:rsidRPr="005367E0" w:rsidRDefault="007E05F9" w:rsidP="007D360C">
      <w:pPr>
        <w:jc w:val="both"/>
        <w:rPr>
          <w:rFonts w:asciiTheme="majorHAnsi" w:hAnsiTheme="majorHAnsi" w:cs="Times New Roman"/>
          <w:b/>
          <w:i/>
          <w:lang w:val="en-US"/>
        </w:rPr>
      </w:pPr>
      <w:r w:rsidRPr="005367E0">
        <w:rPr>
          <w:rFonts w:asciiTheme="majorHAnsi" w:hAnsiTheme="majorHAnsi" w:cs="Times New Roman"/>
          <w:b/>
          <w:i/>
          <w:lang w:val="en-US"/>
        </w:rPr>
        <w:t>Figure</w:t>
      </w:r>
      <w:r w:rsidR="007F45B1" w:rsidRPr="005367E0">
        <w:rPr>
          <w:rFonts w:asciiTheme="majorHAnsi" w:hAnsiTheme="majorHAnsi" w:cs="Times New Roman"/>
          <w:b/>
          <w:i/>
          <w:lang w:val="en-US"/>
        </w:rPr>
        <w:t xml:space="preserve"> </w:t>
      </w:r>
      <w:r w:rsidR="004F0268" w:rsidRPr="005367E0">
        <w:rPr>
          <w:rFonts w:asciiTheme="majorHAnsi" w:hAnsiTheme="majorHAnsi" w:cs="Times New Roman"/>
          <w:b/>
          <w:i/>
          <w:lang w:val="en-US"/>
        </w:rPr>
        <w:t>2</w:t>
      </w:r>
      <w:r w:rsidR="00C90AD6" w:rsidRPr="005367E0">
        <w:rPr>
          <w:rFonts w:asciiTheme="majorHAnsi" w:hAnsiTheme="majorHAnsi" w:cs="Times New Roman"/>
          <w:b/>
          <w:i/>
          <w:lang w:val="en-US"/>
        </w:rPr>
        <w:t>a</w:t>
      </w:r>
      <w:r w:rsidR="007F45B1" w:rsidRPr="005367E0">
        <w:rPr>
          <w:rFonts w:asciiTheme="majorHAnsi" w:hAnsiTheme="majorHAnsi" w:cs="Times New Roman"/>
          <w:b/>
          <w:i/>
          <w:lang w:val="en-US"/>
        </w:rPr>
        <w:t>.</w:t>
      </w:r>
      <w:r w:rsidRPr="005367E0">
        <w:rPr>
          <w:rFonts w:asciiTheme="majorHAnsi" w:hAnsiTheme="majorHAnsi" w:cs="Times New Roman"/>
          <w:b/>
          <w:i/>
          <w:lang w:val="en-US"/>
        </w:rPr>
        <w:t xml:space="preserve"> Relative change in odds to die by year (1991 = ref</w:t>
      </w:r>
      <w:r w:rsidR="00776F20" w:rsidRPr="005367E0">
        <w:rPr>
          <w:rFonts w:asciiTheme="majorHAnsi" w:hAnsiTheme="majorHAnsi" w:cs="Times New Roman"/>
          <w:b/>
          <w:i/>
          <w:lang w:val="en-US"/>
        </w:rPr>
        <w:t xml:space="preserve">) for </w:t>
      </w:r>
      <w:r w:rsidRPr="005367E0">
        <w:rPr>
          <w:rFonts w:asciiTheme="majorHAnsi" w:hAnsiTheme="majorHAnsi" w:cs="Times New Roman"/>
          <w:b/>
          <w:i/>
          <w:lang w:val="en-US"/>
        </w:rPr>
        <w:t>men aged 60+</w:t>
      </w:r>
    </w:p>
    <w:p w14:paraId="5845AA9F" w14:textId="77777777" w:rsidR="005367E0" w:rsidRPr="005367E0" w:rsidRDefault="005367E0" w:rsidP="007D360C">
      <w:pPr>
        <w:jc w:val="both"/>
        <w:rPr>
          <w:rFonts w:asciiTheme="majorHAnsi" w:hAnsiTheme="majorHAnsi" w:cs="Times New Roman"/>
          <w:b/>
          <w:i/>
          <w:lang w:val="en-US"/>
        </w:rPr>
      </w:pPr>
    </w:p>
    <w:p w14:paraId="6B7FEACA" w14:textId="65237684" w:rsidR="007E05F9" w:rsidRPr="005367E0" w:rsidRDefault="007E05F9" w:rsidP="00AF3501">
      <w:pPr>
        <w:jc w:val="center"/>
        <w:rPr>
          <w:rFonts w:asciiTheme="majorHAnsi" w:hAnsiTheme="majorHAnsi" w:cs="Times New Roman"/>
          <w:b/>
          <w:lang w:val="en-US"/>
        </w:rPr>
      </w:pPr>
      <w:bookmarkStart w:id="0" w:name="_GoBack"/>
      <w:r w:rsidRPr="005367E0">
        <w:rPr>
          <w:rFonts w:asciiTheme="majorHAnsi" w:hAnsiTheme="majorHAnsi" w:cs="Times New Roman"/>
          <w:b/>
          <w:noProof/>
          <w:lang w:val="fr-BE" w:eastAsia="fr-BE"/>
        </w:rPr>
        <w:drawing>
          <wp:inline distT="0" distB="0" distL="0" distR="0" wp14:anchorId="156A2721" wp14:editId="2FF8B4A9">
            <wp:extent cx="4086225" cy="266803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9037" cy="2676397"/>
                    </a:xfrm>
                    <a:prstGeom prst="rect">
                      <a:avLst/>
                    </a:prstGeom>
                    <a:noFill/>
                  </pic:spPr>
                </pic:pic>
              </a:graphicData>
            </a:graphic>
          </wp:inline>
        </w:drawing>
      </w:r>
      <w:bookmarkEnd w:id="0"/>
    </w:p>
    <w:p w14:paraId="51085128" w14:textId="5455F198" w:rsidR="007E05F9" w:rsidRPr="005367E0" w:rsidRDefault="007E05F9" w:rsidP="007D360C">
      <w:pPr>
        <w:jc w:val="both"/>
        <w:rPr>
          <w:rFonts w:asciiTheme="majorHAnsi" w:hAnsiTheme="majorHAnsi" w:cs="Times New Roman"/>
          <w:b/>
          <w:lang w:val="en-US"/>
        </w:rPr>
      </w:pPr>
    </w:p>
    <w:p w14:paraId="3C812DC6" w14:textId="3D5A426E" w:rsidR="00C90AD6" w:rsidRDefault="00C90AD6" w:rsidP="00C90AD6">
      <w:pPr>
        <w:jc w:val="both"/>
        <w:rPr>
          <w:rFonts w:asciiTheme="majorHAnsi" w:hAnsiTheme="majorHAnsi" w:cs="Times New Roman"/>
          <w:b/>
          <w:i/>
          <w:lang w:val="en-US"/>
        </w:rPr>
      </w:pPr>
      <w:r w:rsidRPr="005367E0">
        <w:rPr>
          <w:rFonts w:asciiTheme="majorHAnsi" w:hAnsiTheme="majorHAnsi" w:cs="Times New Roman"/>
          <w:b/>
          <w:i/>
          <w:lang w:val="en-US"/>
        </w:rPr>
        <w:t>Figure 2b.  Relative change in odds to die by year (1991 = ref) for women aged 60+</w:t>
      </w:r>
    </w:p>
    <w:p w14:paraId="6A99EF29" w14:textId="77777777" w:rsidR="00F95A8E" w:rsidRPr="005367E0" w:rsidRDefault="00F95A8E" w:rsidP="00C90AD6">
      <w:pPr>
        <w:jc w:val="both"/>
        <w:rPr>
          <w:rFonts w:asciiTheme="majorHAnsi" w:hAnsiTheme="majorHAnsi" w:cs="Times New Roman"/>
          <w:b/>
          <w:i/>
          <w:lang w:val="en-US"/>
        </w:rPr>
      </w:pPr>
    </w:p>
    <w:p w14:paraId="42C5DC39" w14:textId="387CAEA9" w:rsidR="00C90AD6" w:rsidRPr="005367E0" w:rsidRDefault="00C90AD6" w:rsidP="00EF1FF3">
      <w:pPr>
        <w:jc w:val="center"/>
        <w:rPr>
          <w:rFonts w:asciiTheme="majorHAnsi" w:hAnsiTheme="majorHAnsi" w:cs="Times New Roman"/>
          <w:b/>
          <w:lang w:val="en-US"/>
        </w:rPr>
      </w:pPr>
      <w:r w:rsidRPr="005367E0">
        <w:rPr>
          <w:rFonts w:asciiTheme="majorHAnsi" w:hAnsiTheme="majorHAnsi" w:cs="Times New Roman"/>
          <w:b/>
          <w:noProof/>
          <w:lang w:val="fr-BE" w:eastAsia="fr-BE"/>
        </w:rPr>
        <w:drawing>
          <wp:inline distT="0" distB="0" distL="0" distR="0" wp14:anchorId="3B9E5006" wp14:editId="3011F4D3">
            <wp:extent cx="4245114" cy="2771775"/>
            <wp:effectExtent l="0" t="0" r="317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2516" cy="2783137"/>
                    </a:xfrm>
                    <a:prstGeom prst="rect">
                      <a:avLst/>
                    </a:prstGeom>
                    <a:noFill/>
                  </pic:spPr>
                </pic:pic>
              </a:graphicData>
            </a:graphic>
          </wp:inline>
        </w:drawing>
      </w:r>
    </w:p>
    <w:p w14:paraId="22455F0A" w14:textId="5A5BCDB6" w:rsidR="00862100" w:rsidRPr="005367E0" w:rsidRDefault="00862100" w:rsidP="00EF1FF3">
      <w:pPr>
        <w:jc w:val="center"/>
        <w:rPr>
          <w:rFonts w:asciiTheme="majorHAnsi" w:hAnsiTheme="majorHAnsi" w:cs="Times New Roman"/>
          <w:b/>
          <w:lang w:val="en-US"/>
        </w:rPr>
      </w:pPr>
    </w:p>
    <w:p w14:paraId="0EEF991C" w14:textId="14BB51E7" w:rsidR="00862100" w:rsidRPr="005367E0" w:rsidRDefault="00862100" w:rsidP="00862100">
      <w:pPr>
        <w:jc w:val="both"/>
        <w:rPr>
          <w:rFonts w:asciiTheme="majorHAnsi" w:hAnsiTheme="majorHAnsi" w:cs="Times New Roman"/>
          <w:lang w:val="en-US"/>
        </w:rPr>
      </w:pPr>
      <w:r w:rsidRPr="005367E0">
        <w:rPr>
          <w:rFonts w:asciiTheme="majorHAnsi" w:hAnsiTheme="majorHAnsi" w:cs="Times New Roman"/>
          <w:lang w:val="en-US"/>
        </w:rPr>
        <w:t xml:space="preserve">To disentangle the impact of the relative changes in the structure of the population by living arrangements we </w:t>
      </w:r>
      <w:r w:rsidR="00790D75" w:rsidRPr="005367E0">
        <w:rPr>
          <w:rFonts w:asciiTheme="majorHAnsi" w:hAnsiTheme="majorHAnsi" w:cs="Times New Roman"/>
          <w:lang w:val="en-US"/>
        </w:rPr>
        <w:t xml:space="preserve">compare the observed average number of deaths for the years 2010-2012 with </w:t>
      </w:r>
      <w:r w:rsidRPr="005367E0">
        <w:rPr>
          <w:rFonts w:asciiTheme="majorHAnsi" w:hAnsiTheme="majorHAnsi" w:cs="Times New Roman"/>
          <w:lang w:val="en-US"/>
        </w:rPr>
        <w:t xml:space="preserve">the absolute numbers of deaths expected in average for the </w:t>
      </w:r>
      <w:r w:rsidR="00790D75" w:rsidRPr="005367E0">
        <w:rPr>
          <w:rFonts w:asciiTheme="majorHAnsi" w:hAnsiTheme="majorHAnsi" w:cs="Times New Roman"/>
          <w:lang w:val="en-US"/>
        </w:rPr>
        <w:t xml:space="preserve">same years </w:t>
      </w:r>
      <w:r w:rsidRPr="005367E0">
        <w:rPr>
          <w:rFonts w:asciiTheme="majorHAnsi" w:hAnsiTheme="majorHAnsi" w:cs="Times New Roman"/>
          <w:lang w:val="en-US"/>
        </w:rPr>
        <w:t>under the following conditions:</w:t>
      </w:r>
    </w:p>
    <w:p w14:paraId="47EB5A7B" w14:textId="15FA7A05" w:rsidR="00862100" w:rsidRPr="005367E0" w:rsidRDefault="00862100" w:rsidP="00862100">
      <w:pPr>
        <w:pStyle w:val="Paragraphedeliste"/>
        <w:numPr>
          <w:ilvl w:val="0"/>
          <w:numId w:val="18"/>
        </w:numPr>
        <w:jc w:val="both"/>
        <w:rPr>
          <w:rFonts w:asciiTheme="majorHAnsi" w:hAnsiTheme="majorHAnsi" w:cs="Times New Roman"/>
          <w:lang w:val="en-US"/>
        </w:rPr>
      </w:pPr>
      <w:r w:rsidRPr="005367E0">
        <w:rPr>
          <w:rFonts w:asciiTheme="majorHAnsi" w:hAnsiTheme="majorHAnsi" w:cs="Times New Roman"/>
          <w:lang w:val="en-US"/>
        </w:rPr>
        <w:t>The share of population by living arrangements for a given sex and age group is kept unchanged in 2010-2012 compared to 1991-1993</w:t>
      </w:r>
      <w:r w:rsidR="00790D75" w:rsidRPr="005367E0">
        <w:rPr>
          <w:rFonts w:asciiTheme="majorHAnsi" w:hAnsiTheme="majorHAnsi" w:cs="Times New Roman"/>
          <w:lang w:val="en-US"/>
        </w:rPr>
        <w:t xml:space="preserve"> (column B).</w:t>
      </w:r>
    </w:p>
    <w:p w14:paraId="544B0CF2" w14:textId="7E1A1206" w:rsidR="00790D75" w:rsidRPr="005367E0" w:rsidRDefault="00790D75" w:rsidP="00862100">
      <w:pPr>
        <w:pStyle w:val="Paragraphedeliste"/>
        <w:numPr>
          <w:ilvl w:val="0"/>
          <w:numId w:val="18"/>
        </w:numPr>
        <w:jc w:val="both"/>
        <w:rPr>
          <w:rFonts w:asciiTheme="majorHAnsi" w:hAnsiTheme="majorHAnsi" w:cs="Times New Roman"/>
          <w:lang w:val="en-US"/>
        </w:rPr>
      </w:pPr>
      <w:r w:rsidRPr="005367E0">
        <w:rPr>
          <w:rFonts w:asciiTheme="majorHAnsi" w:hAnsiTheme="majorHAnsi" w:cs="Times New Roman"/>
          <w:lang w:val="en-US"/>
        </w:rPr>
        <w:t>The relative mortality risk by living arrangements is kept unchanged in 2010-2012 compared to 1991-1993 (column C).</w:t>
      </w:r>
    </w:p>
    <w:p w14:paraId="34BA3CF9" w14:textId="05843D6A" w:rsidR="00790D75" w:rsidRPr="00316D1A" w:rsidRDefault="00790D75" w:rsidP="00F95A8E">
      <w:pPr>
        <w:spacing w:after="120"/>
        <w:jc w:val="both"/>
        <w:rPr>
          <w:rFonts w:asciiTheme="majorHAnsi" w:hAnsiTheme="majorHAnsi" w:cs="Times New Roman"/>
          <w:b/>
          <w:lang w:val="en-US"/>
        </w:rPr>
      </w:pPr>
      <w:r w:rsidRPr="005367E0">
        <w:rPr>
          <w:rFonts w:asciiTheme="majorHAnsi" w:hAnsiTheme="majorHAnsi" w:cs="Times New Roman"/>
          <w:lang w:val="en-US"/>
        </w:rPr>
        <w:lastRenderedPageBreak/>
        <w:t xml:space="preserve">In the first exercise, the number of expected deaths is obtained by applying the mortality risks observed by living arrangements in 2010-2012 to the population observed these years distributed by living arrangements as in 1991-1993 (column B). Accordingly, the ratio A/B put in evidence the impact of the </w:t>
      </w:r>
      <w:r w:rsidRPr="00316D1A">
        <w:rPr>
          <w:rFonts w:asciiTheme="majorHAnsi" w:hAnsiTheme="majorHAnsi" w:cs="Times New Roman"/>
          <w:b/>
          <w:lang w:val="en-US"/>
        </w:rPr>
        <w:t>relative change</w:t>
      </w:r>
      <w:r w:rsidR="00316D1A">
        <w:rPr>
          <w:rFonts w:asciiTheme="majorHAnsi" w:hAnsiTheme="majorHAnsi" w:cs="Times New Roman"/>
          <w:b/>
          <w:lang w:val="en-US"/>
        </w:rPr>
        <w:t>s</w:t>
      </w:r>
      <w:r w:rsidRPr="00316D1A">
        <w:rPr>
          <w:rFonts w:asciiTheme="majorHAnsi" w:hAnsiTheme="majorHAnsi" w:cs="Times New Roman"/>
          <w:b/>
          <w:lang w:val="en-US"/>
        </w:rPr>
        <w:t xml:space="preserve"> in the structure of the population by living arrangements.</w:t>
      </w:r>
    </w:p>
    <w:p w14:paraId="3FF3A8B0" w14:textId="0A041D36" w:rsidR="00790D75" w:rsidRPr="00316D1A" w:rsidRDefault="00790D75" w:rsidP="00F95A8E">
      <w:pPr>
        <w:spacing w:after="120"/>
        <w:jc w:val="both"/>
        <w:rPr>
          <w:rFonts w:asciiTheme="majorHAnsi" w:hAnsiTheme="majorHAnsi" w:cs="Times New Roman"/>
          <w:b/>
          <w:lang w:val="en-US"/>
        </w:rPr>
      </w:pPr>
      <w:r w:rsidRPr="005367E0">
        <w:rPr>
          <w:rFonts w:asciiTheme="majorHAnsi" w:hAnsiTheme="majorHAnsi" w:cs="Times New Roman"/>
          <w:lang w:val="en-US"/>
        </w:rPr>
        <w:t xml:space="preserve">In the second exercise, the number of expected deaths is obtained by applying to the population observed in average for the years 2010-2012 the mortality risks by living arrangements obtained by </w:t>
      </w:r>
      <w:r w:rsidR="001805BD" w:rsidRPr="005367E0">
        <w:rPr>
          <w:rFonts w:asciiTheme="majorHAnsi" w:hAnsiTheme="majorHAnsi" w:cs="Times New Roman"/>
          <w:lang w:val="en-US"/>
        </w:rPr>
        <w:t xml:space="preserve">considering the overall mortality risks observed in 2010-2012 distributed by living arrangements as observed in the years 1991-1993 (column C). Accordingly, the ratio A/C put in evidence the impact of the </w:t>
      </w:r>
      <w:r w:rsidR="001805BD" w:rsidRPr="00316D1A">
        <w:rPr>
          <w:rFonts w:asciiTheme="majorHAnsi" w:hAnsiTheme="majorHAnsi" w:cs="Times New Roman"/>
          <w:b/>
          <w:lang w:val="en-US"/>
        </w:rPr>
        <w:t>relative changes observed in mortality risks by living arrangements.</w:t>
      </w:r>
    </w:p>
    <w:p w14:paraId="5FA5268B" w14:textId="352DB23C" w:rsidR="00776F20" w:rsidRPr="005367E0" w:rsidRDefault="009156F4" w:rsidP="007D360C">
      <w:pPr>
        <w:jc w:val="both"/>
        <w:rPr>
          <w:rFonts w:asciiTheme="majorHAnsi" w:hAnsiTheme="majorHAnsi" w:cs="Times New Roman"/>
          <w:b/>
          <w:i/>
          <w:lang w:val="en-US"/>
        </w:rPr>
      </w:pPr>
      <w:r w:rsidRPr="005367E0">
        <w:rPr>
          <w:rFonts w:asciiTheme="majorHAnsi" w:hAnsiTheme="majorHAnsi" w:cs="Times New Roman"/>
          <w:b/>
          <w:i/>
          <w:lang w:val="en-US"/>
        </w:rPr>
        <w:t>Table</w:t>
      </w:r>
      <w:r w:rsidR="007F45B1" w:rsidRPr="005367E0">
        <w:rPr>
          <w:rFonts w:asciiTheme="majorHAnsi" w:hAnsiTheme="majorHAnsi" w:cs="Times New Roman"/>
          <w:b/>
          <w:i/>
          <w:lang w:val="en-US"/>
        </w:rPr>
        <w:t xml:space="preserve"> 1. Observed number of deaths (A) and </w:t>
      </w:r>
      <w:r w:rsidR="00311C62" w:rsidRPr="005367E0">
        <w:rPr>
          <w:rFonts w:asciiTheme="majorHAnsi" w:hAnsiTheme="majorHAnsi" w:cs="Times New Roman"/>
          <w:b/>
          <w:i/>
          <w:lang w:val="en-US"/>
        </w:rPr>
        <w:t>expected</w:t>
      </w:r>
      <w:r w:rsidR="007F45B1" w:rsidRPr="005367E0">
        <w:rPr>
          <w:rFonts w:asciiTheme="majorHAnsi" w:hAnsiTheme="majorHAnsi" w:cs="Times New Roman"/>
          <w:b/>
          <w:i/>
          <w:lang w:val="en-US"/>
        </w:rPr>
        <w:t xml:space="preserve"> number of deaths if the structure of the population by LA is unchanged between 1991-1993 and 2010-2012 (B) or if the relative mortality by LA is kept unchanged for the same period (C). Corresponding ratio between observed and </w:t>
      </w:r>
      <w:r w:rsidR="00311C62" w:rsidRPr="005367E0">
        <w:rPr>
          <w:rFonts w:asciiTheme="majorHAnsi" w:hAnsiTheme="majorHAnsi" w:cs="Times New Roman"/>
          <w:b/>
          <w:i/>
          <w:lang w:val="en-US"/>
        </w:rPr>
        <w:t>expected</w:t>
      </w:r>
      <w:r w:rsidR="007F45B1" w:rsidRPr="005367E0">
        <w:rPr>
          <w:rFonts w:asciiTheme="majorHAnsi" w:hAnsiTheme="majorHAnsi" w:cs="Times New Roman"/>
          <w:b/>
          <w:i/>
          <w:lang w:val="en-US"/>
        </w:rPr>
        <w:t xml:space="preserve"> </w:t>
      </w:r>
      <w:r w:rsidR="00311C62" w:rsidRPr="005367E0">
        <w:rPr>
          <w:rFonts w:asciiTheme="majorHAnsi" w:hAnsiTheme="majorHAnsi" w:cs="Times New Roman"/>
          <w:b/>
          <w:i/>
          <w:lang w:val="en-US"/>
        </w:rPr>
        <w:t>number of deaths (respectively</w:t>
      </w:r>
      <w:r w:rsidR="007F45B1" w:rsidRPr="005367E0">
        <w:rPr>
          <w:rFonts w:asciiTheme="majorHAnsi" w:hAnsiTheme="majorHAnsi" w:cs="Times New Roman"/>
          <w:b/>
          <w:i/>
          <w:lang w:val="en-US"/>
        </w:rPr>
        <w:t xml:space="preserve"> D et E).</w:t>
      </w:r>
    </w:p>
    <w:p w14:paraId="792B6052" w14:textId="101B176A" w:rsidR="00C9417B" w:rsidRPr="005367E0" w:rsidRDefault="00C9417B" w:rsidP="007D360C">
      <w:pPr>
        <w:jc w:val="both"/>
        <w:rPr>
          <w:rFonts w:asciiTheme="majorHAnsi" w:hAnsiTheme="majorHAnsi" w:cs="Times New Roman"/>
          <w:b/>
          <w:i/>
          <w:sz w:val="22"/>
          <w:szCs w:val="22"/>
          <w:lang w:val="en-US"/>
        </w:rPr>
      </w:pPr>
    </w:p>
    <w:tbl>
      <w:tblPr>
        <w:tblW w:w="9072" w:type="dxa"/>
        <w:tblInd w:w="57" w:type="dxa"/>
        <w:tblLayout w:type="fixed"/>
        <w:tblCellMar>
          <w:left w:w="57" w:type="dxa"/>
          <w:right w:w="57" w:type="dxa"/>
        </w:tblCellMar>
        <w:tblLook w:val="04A0" w:firstRow="1" w:lastRow="0" w:firstColumn="1" w:lastColumn="0" w:noHBand="0" w:noVBand="1"/>
      </w:tblPr>
      <w:tblGrid>
        <w:gridCol w:w="1956"/>
        <w:gridCol w:w="680"/>
        <w:gridCol w:w="680"/>
        <w:gridCol w:w="681"/>
        <w:gridCol w:w="680"/>
        <w:gridCol w:w="681"/>
        <w:gridCol w:w="142"/>
        <w:gridCol w:w="714"/>
        <w:gridCol w:w="714"/>
        <w:gridCol w:w="715"/>
        <w:gridCol w:w="714"/>
        <w:gridCol w:w="715"/>
      </w:tblGrid>
      <w:tr w:rsidR="00C9417B" w:rsidRPr="005367E0" w14:paraId="72F767E9" w14:textId="77777777" w:rsidTr="00F95A8E">
        <w:trPr>
          <w:trHeight w:val="300"/>
        </w:trPr>
        <w:tc>
          <w:tcPr>
            <w:tcW w:w="1956" w:type="dxa"/>
            <w:tcBorders>
              <w:top w:val="single" w:sz="4" w:space="0" w:color="auto"/>
              <w:left w:val="single" w:sz="4" w:space="0" w:color="auto"/>
              <w:right w:val="single" w:sz="4" w:space="0" w:color="auto"/>
            </w:tcBorders>
            <w:shd w:val="clear" w:color="auto" w:fill="auto"/>
            <w:noWrap/>
            <w:vAlign w:val="bottom"/>
            <w:hideMark/>
          </w:tcPr>
          <w:p w14:paraId="09A948AA" w14:textId="0B76E58F" w:rsidR="00C9417B" w:rsidRPr="00F95A8E" w:rsidRDefault="009156F4" w:rsidP="00F95A8E">
            <w:pPr>
              <w:rPr>
                <w:rFonts w:asciiTheme="majorHAnsi" w:eastAsia="Times New Roman" w:hAnsiTheme="majorHAnsi" w:cs="Times New Roman"/>
                <w:color w:val="000000"/>
                <w:sz w:val="22"/>
                <w:szCs w:val="22"/>
                <w:lang w:val="fr-BE" w:eastAsia="fr-BE"/>
              </w:rPr>
            </w:pPr>
            <w:r w:rsidRPr="00F95A8E">
              <w:rPr>
                <w:rFonts w:asciiTheme="majorHAnsi" w:eastAsia="Times New Roman" w:hAnsiTheme="majorHAnsi" w:cs="Times New Roman"/>
                <w:color w:val="000000"/>
                <w:sz w:val="22"/>
                <w:szCs w:val="22"/>
                <w:lang w:val="fr-BE" w:eastAsia="fr-BE"/>
              </w:rPr>
              <w:t xml:space="preserve">Living </w:t>
            </w:r>
          </w:p>
        </w:tc>
        <w:tc>
          <w:tcPr>
            <w:tcW w:w="340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5561D2" w14:textId="533F9008" w:rsidR="00C9417B" w:rsidRPr="005367E0" w:rsidRDefault="009156F4" w:rsidP="009156F4">
            <w:pPr>
              <w:jc w:val="center"/>
              <w:rPr>
                <w:rFonts w:asciiTheme="majorHAnsi" w:eastAsia="Times New Roman" w:hAnsiTheme="majorHAnsi" w:cs="Times New Roman"/>
                <w:color w:val="000000"/>
                <w:sz w:val="22"/>
                <w:szCs w:val="22"/>
                <w:lang w:val="fr-BE" w:eastAsia="fr-BE"/>
              </w:rPr>
            </w:pPr>
            <w:r w:rsidRPr="005367E0">
              <w:rPr>
                <w:rFonts w:asciiTheme="majorHAnsi" w:eastAsia="Times New Roman" w:hAnsiTheme="majorHAnsi" w:cs="Times New Roman"/>
                <w:color w:val="000000"/>
                <w:sz w:val="22"/>
                <w:szCs w:val="22"/>
                <w:lang w:val="fr-BE" w:eastAsia="fr-BE"/>
              </w:rPr>
              <w:t>Men</w:t>
            </w:r>
          </w:p>
        </w:tc>
        <w:tc>
          <w:tcPr>
            <w:tcW w:w="142" w:type="dxa"/>
            <w:tcBorders>
              <w:top w:val="single" w:sz="4" w:space="0" w:color="auto"/>
              <w:left w:val="nil"/>
              <w:bottom w:val="single" w:sz="4" w:space="0" w:color="auto"/>
              <w:right w:val="single" w:sz="4" w:space="0" w:color="auto"/>
            </w:tcBorders>
            <w:shd w:val="clear" w:color="000000" w:fill="FFFFFF"/>
            <w:noWrap/>
            <w:vAlign w:val="bottom"/>
            <w:hideMark/>
          </w:tcPr>
          <w:p w14:paraId="6C969ABD" w14:textId="77777777" w:rsidR="00C9417B" w:rsidRPr="005367E0" w:rsidRDefault="00C9417B" w:rsidP="00C9417B">
            <w:pPr>
              <w:rPr>
                <w:rFonts w:asciiTheme="majorHAnsi" w:eastAsia="Times New Roman" w:hAnsiTheme="majorHAnsi" w:cs="Times New Roman"/>
                <w:color w:val="000000"/>
                <w:sz w:val="22"/>
                <w:szCs w:val="22"/>
                <w:lang w:val="fr-BE" w:eastAsia="fr-BE"/>
              </w:rPr>
            </w:pPr>
            <w:r w:rsidRPr="005367E0">
              <w:rPr>
                <w:rFonts w:asciiTheme="majorHAnsi" w:eastAsia="Times New Roman" w:hAnsiTheme="majorHAnsi" w:cs="Times New Roman"/>
                <w:color w:val="000000"/>
                <w:sz w:val="22"/>
                <w:szCs w:val="22"/>
                <w:lang w:val="fr-BE" w:eastAsia="fr-BE"/>
              </w:rPr>
              <w:t> </w:t>
            </w:r>
          </w:p>
        </w:tc>
        <w:tc>
          <w:tcPr>
            <w:tcW w:w="3572"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8BB429D" w14:textId="3F12FF42" w:rsidR="00C9417B" w:rsidRPr="005367E0" w:rsidRDefault="009156F4" w:rsidP="00C9417B">
            <w:pPr>
              <w:jc w:val="center"/>
              <w:rPr>
                <w:rFonts w:asciiTheme="majorHAnsi" w:eastAsia="Times New Roman" w:hAnsiTheme="majorHAnsi" w:cs="Times New Roman"/>
                <w:color w:val="000000"/>
                <w:sz w:val="22"/>
                <w:szCs w:val="22"/>
                <w:lang w:val="fr-BE" w:eastAsia="fr-BE"/>
              </w:rPr>
            </w:pPr>
            <w:r w:rsidRPr="005367E0">
              <w:rPr>
                <w:rFonts w:asciiTheme="majorHAnsi" w:eastAsia="Times New Roman" w:hAnsiTheme="majorHAnsi" w:cs="Times New Roman"/>
                <w:color w:val="000000"/>
                <w:sz w:val="22"/>
                <w:szCs w:val="22"/>
                <w:lang w:val="fr-BE" w:eastAsia="fr-BE"/>
              </w:rPr>
              <w:t>Women</w:t>
            </w:r>
          </w:p>
        </w:tc>
      </w:tr>
      <w:tr w:rsidR="00F95A8E" w:rsidRPr="005367E0" w14:paraId="1F2C93CE" w14:textId="77777777" w:rsidTr="00F95A8E">
        <w:trPr>
          <w:trHeight w:val="300"/>
        </w:trPr>
        <w:tc>
          <w:tcPr>
            <w:tcW w:w="1956" w:type="dxa"/>
            <w:tcBorders>
              <w:top w:val="nil"/>
              <w:left w:val="single" w:sz="4" w:space="0" w:color="auto"/>
              <w:bottom w:val="single" w:sz="4" w:space="0" w:color="auto"/>
              <w:right w:val="single" w:sz="4" w:space="0" w:color="auto"/>
            </w:tcBorders>
            <w:shd w:val="clear" w:color="auto" w:fill="auto"/>
            <w:noWrap/>
            <w:vAlign w:val="bottom"/>
            <w:hideMark/>
          </w:tcPr>
          <w:p w14:paraId="185A3E8C" w14:textId="6B515785" w:rsidR="005367E0" w:rsidRPr="00F95A8E" w:rsidRDefault="005367E0" w:rsidP="00C9417B">
            <w:pPr>
              <w:rPr>
                <w:rFonts w:asciiTheme="majorHAnsi" w:eastAsia="Times New Roman" w:hAnsiTheme="majorHAnsi" w:cs="Times New Roman"/>
                <w:color w:val="000000"/>
                <w:sz w:val="22"/>
                <w:szCs w:val="22"/>
                <w:lang w:val="fr-BE" w:eastAsia="fr-BE"/>
              </w:rPr>
            </w:pPr>
            <w:r w:rsidRPr="00F95A8E">
              <w:rPr>
                <w:rFonts w:asciiTheme="majorHAnsi" w:eastAsia="Times New Roman" w:hAnsiTheme="majorHAnsi" w:cs="Times New Roman"/>
                <w:color w:val="000000"/>
                <w:sz w:val="22"/>
                <w:szCs w:val="22"/>
                <w:lang w:val="fr-BE" w:eastAsia="fr-BE"/>
              </w:rPr>
              <w:t> </w:t>
            </w:r>
            <w:r w:rsidR="00F95A8E" w:rsidRPr="00F95A8E">
              <w:rPr>
                <w:rFonts w:asciiTheme="majorHAnsi" w:eastAsia="Times New Roman" w:hAnsiTheme="majorHAnsi" w:cs="Times New Roman"/>
                <w:color w:val="000000"/>
                <w:sz w:val="22"/>
                <w:szCs w:val="22"/>
                <w:lang w:val="fr-BE" w:eastAsia="fr-BE"/>
              </w:rPr>
              <w:t>arrangements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E3FB9" w14:textId="77777777" w:rsidR="005367E0" w:rsidRPr="005367E0" w:rsidRDefault="005367E0" w:rsidP="00C9417B">
            <w:pPr>
              <w:jc w:val="center"/>
              <w:rPr>
                <w:rFonts w:asciiTheme="majorHAnsi" w:eastAsia="Times New Roman" w:hAnsiTheme="majorHAnsi" w:cs="Times New Roman"/>
                <w:color w:val="000000"/>
                <w:sz w:val="22"/>
                <w:szCs w:val="22"/>
                <w:lang w:val="fr-BE" w:eastAsia="fr-BE"/>
              </w:rPr>
            </w:pPr>
            <w:r w:rsidRPr="005367E0">
              <w:rPr>
                <w:rFonts w:asciiTheme="majorHAnsi" w:eastAsia="Times New Roman" w:hAnsiTheme="majorHAnsi" w:cs="Times New Roman"/>
                <w:color w:val="000000"/>
                <w:sz w:val="22"/>
                <w:szCs w:val="22"/>
                <w:lang w:val="fr-BE" w:eastAsia="fr-BE"/>
              </w:rPr>
              <w:t>A</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F8541" w14:textId="77777777" w:rsidR="005367E0" w:rsidRPr="005367E0" w:rsidRDefault="005367E0" w:rsidP="00C9417B">
            <w:pPr>
              <w:jc w:val="center"/>
              <w:rPr>
                <w:rFonts w:asciiTheme="majorHAnsi" w:eastAsia="Times New Roman" w:hAnsiTheme="majorHAnsi" w:cs="Times New Roman"/>
                <w:color w:val="000000"/>
                <w:sz w:val="22"/>
                <w:szCs w:val="22"/>
                <w:lang w:val="fr-BE" w:eastAsia="fr-BE"/>
              </w:rPr>
            </w:pPr>
            <w:r w:rsidRPr="005367E0">
              <w:rPr>
                <w:rFonts w:asciiTheme="majorHAnsi" w:eastAsia="Times New Roman" w:hAnsiTheme="majorHAnsi" w:cs="Times New Roman"/>
                <w:color w:val="000000"/>
                <w:sz w:val="22"/>
                <w:szCs w:val="22"/>
                <w:lang w:val="fr-BE" w:eastAsia="fr-BE"/>
              </w:rPr>
              <w:t>B</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801C7" w14:textId="77777777" w:rsidR="005367E0" w:rsidRPr="005367E0" w:rsidRDefault="005367E0" w:rsidP="00C9417B">
            <w:pPr>
              <w:jc w:val="center"/>
              <w:rPr>
                <w:rFonts w:asciiTheme="majorHAnsi" w:eastAsia="Times New Roman" w:hAnsiTheme="majorHAnsi" w:cs="Times New Roman"/>
                <w:color w:val="000000"/>
                <w:sz w:val="22"/>
                <w:szCs w:val="22"/>
                <w:lang w:val="fr-BE" w:eastAsia="fr-BE"/>
              </w:rPr>
            </w:pPr>
            <w:r w:rsidRPr="005367E0">
              <w:rPr>
                <w:rFonts w:asciiTheme="majorHAnsi" w:eastAsia="Times New Roman" w:hAnsiTheme="majorHAnsi" w:cs="Times New Roman"/>
                <w:color w:val="000000"/>
                <w:sz w:val="22"/>
                <w:szCs w:val="22"/>
                <w:lang w:val="fr-BE" w:eastAsia="fr-BE"/>
              </w:rPr>
              <w:t>C</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9102D" w14:textId="58645332" w:rsidR="005367E0" w:rsidRPr="005367E0" w:rsidRDefault="005367E0" w:rsidP="00C9417B">
            <w:pPr>
              <w:jc w:val="center"/>
              <w:rPr>
                <w:rFonts w:asciiTheme="majorHAnsi" w:eastAsia="Times New Roman" w:hAnsiTheme="majorHAnsi" w:cs="Times New Roman"/>
                <w:color w:val="000000"/>
                <w:sz w:val="22"/>
                <w:szCs w:val="22"/>
                <w:lang w:val="fr-BE" w:eastAsia="fr-BE"/>
              </w:rPr>
            </w:pPr>
            <w:r w:rsidRPr="005367E0">
              <w:rPr>
                <w:rFonts w:asciiTheme="majorHAnsi" w:eastAsia="Times New Roman" w:hAnsiTheme="majorHAnsi" w:cs="Times New Roman"/>
                <w:color w:val="000000"/>
                <w:sz w:val="22"/>
                <w:szCs w:val="22"/>
                <w:lang w:val="fr-BE" w:eastAsia="fr-BE"/>
              </w:rPr>
              <w:t>A/B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E62DE" w14:textId="1BD88620" w:rsidR="005367E0" w:rsidRPr="005367E0" w:rsidRDefault="005367E0" w:rsidP="00C9417B">
            <w:pPr>
              <w:jc w:val="center"/>
              <w:rPr>
                <w:rFonts w:asciiTheme="majorHAnsi" w:eastAsia="Times New Roman" w:hAnsiTheme="majorHAnsi" w:cs="Times New Roman"/>
                <w:color w:val="000000"/>
                <w:sz w:val="22"/>
                <w:szCs w:val="22"/>
                <w:lang w:val="fr-BE" w:eastAsia="fr-BE"/>
              </w:rPr>
            </w:pPr>
            <w:r w:rsidRPr="005367E0">
              <w:rPr>
                <w:rFonts w:asciiTheme="majorHAnsi" w:eastAsia="Times New Roman" w:hAnsiTheme="majorHAnsi" w:cs="Times New Roman"/>
                <w:color w:val="000000"/>
                <w:sz w:val="22"/>
                <w:szCs w:val="22"/>
                <w:lang w:val="fr-BE" w:eastAsia="fr-BE"/>
              </w:rPr>
              <w:t>A/C (%)</w:t>
            </w:r>
          </w:p>
        </w:tc>
        <w:tc>
          <w:tcPr>
            <w:tcW w:w="142" w:type="dxa"/>
            <w:tcBorders>
              <w:top w:val="nil"/>
              <w:left w:val="nil"/>
              <w:bottom w:val="single" w:sz="4" w:space="0" w:color="auto"/>
              <w:right w:val="single" w:sz="4" w:space="0" w:color="auto"/>
            </w:tcBorders>
            <w:shd w:val="clear" w:color="000000" w:fill="FFFFFF"/>
            <w:noWrap/>
            <w:vAlign w:val="bottom"/>
            <w:hideMark/>
          </w:tcPr>
          <w:p w14:paraId="6033B44A" w14:textId="77777777" w:rsidR="005367E0" w:rsidRPr="005367E0" w:rsidRDefault="005367E0" w:rsidP="00C9417B">
            <w:pPr>
              <w:rPr>
                <w:rFonts w:asciiTheme="majorHAnsi" w:eastAsia="Times New Roman" w:hAnsiTheme="majorHAnsi" w:cs="Times New Roman"/>
                <w:color w:val="000000"/>
                <w:sz w:val="22"/>
                <w:szCs w:val="22"/>
                <w:lang w:val="fr-BE" w:eastAsia="fr-BE"/>
              </w:rPr>
            </w:pPr>
            <w:r w:rsidRPr="005367E0">
              <w:rPr>
                <w:rFonts w:asciiTheme="majorHAnsi" w:eastAsia="Times New Roman" w:hAnsiTheme="majorHAnsi" w:cs="Times New Roman"/>
                <w:color w:val="000000"/>
                <w:sz w:val="22"/>
                <w:szCs w:val="22"/>
                <w:lang w:val="fr-BE" w:eastAsia="fr-BE"/>
              </w:rPr>
              <w:t> </w:t>
            </w:r>
          </w:p>
        </w:tc>
        <w:tc>
          <w:tcPr>
            <w:tcW w:w="714" w:type="dxa"/>
            <w:tcBorders>
              <w:top w:val="nil"/>
              <w:left w:val="nil"/>
              <w:bottom w:val="single" w:sz="4" w:space="0" w:color="auto"/>
              <w:right w:val="nil"/>
            </w:tcBorders>
            <w:shd w:val="clear" w:color="auto" w:fill="auto"/>
            <w:noWrap/>
            <w:vAlign w:val="bottom"/>
            <w:hideMark/>
          </w:tcPr>
          <w:p w14:paraId="3A986C53" w14:textId="4D5E16C7" w:rsidR="005367E0" w:rsidRPr="005367E0" w:rsidRDefault="005367E0" w:rsidP="00C9417B">
            <w:pPr>
              <w:jc w:val="center"/>
              <w:rPr>
                <w:rFonts w:asciiTheme="majorHAnsi" w:eastAsia="Times New Roman" w:hAnsiTheme="majorHAnsi" w:cs="Times New Roman"/>
                <w:color w:val="000000"/>
                <w:sz w:val="22"/>
                <w:szCs w:val="22"/>
                <w:lang w:val="fr-BE" w:eastAsia="fr-BE"/>
              </w:rPr>
            </w:pPr>
            <w:r w:rsidRPr="005367E0">
              <w:rPr>
                <w:rFonts w:asciiTheme="majorHAnsi" w:eastAsia="Times New Roman" w:hAnsiTheme="majorHAnsi" w:cs="Times New Roman"/>
                <w:color w:val="000000"/>
                <w:sz w:val="22"/>
                <w:szCs w:val="22"/>
                <w:lang w:val="fr-BE" w:eastAsia="fr-BE"/>
              </w:rPr>
              <w:t>A</w:t>
            </w:r>
          </w:p>
        </w:tc>
        <w:tc>
          <w:tcPr>
            <w:tcW w:w="714" w:type="dxa"/>
            <w:tcBorders>
              <w:top w:val="nil"/>
              <w:left w:val="nil"/>
              <w:bottom w:val="single" w:sz="4" w:space="0" w:color="auto"/>
              <w:right w:val="nil"/>
            </w:tcBorders>
            <w:shd w:val="clear" w:color="auto" w:fill="auto"/>
            <w:noWrap/>
            <w:vAlign w:val="bottom"/>
            <w:hideMark/>
          </w:tcPr>
          <w:p w14:paraId="04808625" w14:textId="6D6B9534" w:rsidR="005367E0" w:rsidRPr="005367E0" w:rsidRDefault="005367E0" w:rsidP="00C9417B">
            <w:pPr>
              <w:jc w:val="center"/>
              <w:rPr>
                <w:rFonts w:asciiTheme="majorHAnsi" w:eastAsia="Times New Roman" w:hAnsiTheme="majorHAnsi" w:cs="Times New Roman"/>
                <w:color w:val="000000"/>
                <w:sz w:val="22"/>
                <w:szCs w:val="22"/>
                <w:lang w:val="fr-BE" w:eastAsia="fr-BE"/>
              </w:rPr>
            </w:pPr>
            <w:r w:rsidRPr="005367E0">
              <w:rPr>
                <w:rFonts w:asciiTheme="majorHAnsi" w:eastAsia="Times New Roman" w:hAnsiTheme="majorHAnsi" w:cs="Times New Roman"/>
                <w:color w:val="000000"/>
                <w:sz w:val="22"/>
                <w:szCs w:val="22"/>
                <w:lang w:val="fr-BE" w:eastAsia="fr-BE"/>
              </w:rPr>
              <w:t>B</w:t>
            </w:r>
          </w:p>
        </w:tc>
        <w:tc>
          <w:tcPr>
            <w:tcW w:w="715" w:type="dxa"/>
            <w:tcBorders>
              <w:top w:val="nil"/>
              <w:left w:val="nil"/>
              <w:bottom w:val="single" w:sz="4" w:space="0" w:color="auto"/>
              <w:right w:val="nil"/>
            </w:tcBorders>
            <w:shd w:val="clear" w:color="auto" w:fill="auto"/>
            <w:noWrap/>
            <w:vAlign w:val="bottom"/>
            <w:hideMark/>
          </w:tcPr>
          <w:p w14:paraId="51A6F2B0" w14:textId="0702DFDF" w:rsidR="005367E0" w:rsidRPr="005367E0" w:rsidRDefault="005367E0" w:rsidP="00C9417B">
            <w:pPr>
              <w:jc w:val="center"/>
              <w:rPr>
                <w:rFonts w:asciiTheme="majorHAnsi" w:eastAsia="Times New Roman" w:hAnsiTheme="majorHAnsi" w:cs="Times New Roman"/>
                <w:color w:val="000000"/>
                <w:sz w:val="22"/>
                <w:szCs w:val="22"/>
                <w:lang w:val="fr-BE" w:eastAsia="fr-BE"/>
              </w:rPr>
            </w:pPr>
            <w:r w:rsidRPr="005367E0">
              <w:rPr>
                <w:rFonts w:asciiTheme="majorHAnsi" w:eastAsia="Times New Roman" w:hAnsiTheme="majorHAnsi" w:cs="Times New Roman"/>
                <w:color w:val="000000"/>
                <w:sz w:val="22"/>
                <w:szCs w:val="22"/>
                <w:lang w:val="fr-BE" w:eastAsia="fr-BE"/>
              </w:rPr>
              <w:t>C</w:t>
            </w:r>
          </w:p>
        </w:tc>
        <w:tc>
          <w:tcPr>
            <w:tcW w:w="714" w:type="dxa"/>
            <w:tcBorders>
              <w:top w:val="nil"/>
              <w:left w:val="nil"/>
              <w:bottom w:val="single" w:sz="4" w:space="0" w:color="auto"/>
              <w:right w:val="nil"/>
            </w:tcBorders>
            <w:shd w:val="clear" w:color="auto" w:fill="auto"/>
            <w:noWrap/>
            <w:vAlign w:val="bottom"/>
            <w:hideMark/>
          </w:tcPr>
          <w:p w14:paraId="0CB91B17" w14:textId="5515E01F" w:rsidR="005367E0" w:rsidRPr="005367E0" w:rsidRDefault="005367E0" w:rsidP="00C9417B">
            <w:pPr>
              <w:jc w:val="center"/>
              <w:rPr>
                <w:rFonts w:asciiTheme="majorHAnsi" w:eastAsia="Times New Roman" w:hAnsiTheme="majorHAnsi" w:cs="Times New Roman"/>
                <w:color w:val="000000"/>
                <w:sz w:val="22"/>
                <w:szCs w:val="22"/>
                <w:lang w:val="fr-BE" w:eastAsia="fr-BE"/>
              </w:rPr>
            </w:pPr>
            <w:r w:rsidRPr="005367E0">
              <w:rPr>
                <w:rFonts w:asciiTheme="majorHAnsi" w:eastAsia="Times New Roman" w:hAnsiTheme="majorHAnsi" w:cs="Times New Roman"/>
                <w:color w:val="000000"/>
                <w:sz w:val="22"/>
                <w:szCs w:val="22"/>
                <w:lang w:val="fr-BE" w:eastAsia="fr-BE"/>
              </w:rPr>
              <w:t>A/B (%)</w:t>
            </w:r>
          </w:p>
        </w:tc>
        <w:tc>
          <w:tcPr>
            <w:tcW w:w="715" w:type="dxa"/>
            <w:tcBorders>
              <w:top w:val="nil"/>
              <w:left w:val="nil"/>
              <w:bottom w:val="single" w:sz="4" w:space="0" w:color="auto"/>
              <w:right w:val="single" w:sz="4" w:space="0" w:color="auto"/>
            </w:tcBorders>
            <w:shd w:val="clear" w:color="auto" w:fill="auto"/>
            <w:noWrap/>
            <w:vAlign w:val="bottom"/>
            <w:hideMark/>
          </w:tcPr>
          <w:p w14:paraId="3450E9F8" w14:textId="21F1AAA8" w:rsidR="005367E0" w:rsidRPr="005367E0" w:rsidRDefault="005367E0" w:rsidP="00C9417B">
            <w:pPr>
              <w:jc w:val="center"/>
              <w:rPr>
                <w:rFonts w:asciiTheme="majorHAnsi" w:eastAsia="Times New Roman" w:hAnsiTheme="majorHAnsi" w:cs="Times New Roman"/>
                <w:color w:val="000000"/>
                <w:sz w:val="22"/>
                <w:szCs w:val="22"/>
                <w:lang w:val="fr-BE" w:eastAsia="fr-BE"/>
              </w:rPr>
            </w:pPr>
            <w:r w:rsidRPr="005367E0">
              <w:rPr>
                <w:rFonts w:asciiTheme="majorHAnsi" w:eastAsia="Times New Roman" w:hAnsiTheme="majorHAnsi" w:cs="Times New Roman"/>
                <w:color w:val="000000"/>
                <w:sz w:val="22"/>
                <w:szCs w:val="22"/>
                <w:lang w:val="fr-BE" w:eastAsia="fr-BE"/>
              </w:rPr>
              <w:t>A/C (%)</w:t>
            </w:r>
          </w:p>
        </w:tc>
      </w:tr>
      <w:tr w:rsidR="005367E0" w:rsidRPr="005367E0" w14:paraId="7F0F9223" w14:textId="77777777" w:rsidTr="00F95A8E">
        <w:trPr>
          <w:trHeight w:val="300"/>
        </w:trPr>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F0EF8" w14:textId="77777777" w:rsidR="00C9417B" w:rsidRPr="00F95A8E" w:rsidRDefault="00C9417B" w:rsidP="00C9417B">
            <w:pPr>
              <w:rPr>
                <w:rFonts w:asciiTheme="majorHAnsi" w:eastAsia="Times New Roman" w:hAnsiTheme="majorHAnsi" w:cs="Times New Roman"/>
                <w:color w:val="000000"/>
                <w:sz w:val="22"/>
                <w:szCs w:val="22"/>
                <w:lang w:val="fr-BE" w:eastAsia="fr-BE"/>
              </w:rPr>
            </w:pPr>
            <w:r w:rsidRPr="00F95A8E">
              <w:rPr>
                <w:rFonts w:asciiTheme="majorHAnsi" w:eastAsia="Times New Roman" w:hAnsiTheme="majorHAnsi" w:cs="Times New Roman"/>
                <w:color w:val="000000"/>
                <w:sz w:val="22"/>
                <w:szCs w:val="22"/>
                <w:lang w:val="fr-BE" w:eastAsia="fr-BE"/>
              </w:rPr>
              <w:t>Alone single</w:t>
            </w:r>
          </w:p>
        </w:tc>
        <w:tc>
          <w:tcPr>
            <w:tcW w:w="680" w:type="dxa"/>
            <w:tcBorders>
              <w:top w:val="nil"/>
              <w:left w:val="nil"/>
              <w:bottom w:val="single" w:sz="4" w:space="0" w:color="auto"/>
              <w:right w:val="single" w:sz="4" w:space="0" w:color="auto"/>
            </w:tcBorders>
            <w:shd w:val="clear" w:color="000000" w:fill="FFFFFF"/>
            <w:noWrap/>
            <w:vAlign w:val="bottom"/>
            <w:hideMark/>
          </w:tcPr>
          <w:p w14:paraId="045DFE5D"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1660</w:t>
            </w:r>
          </w:p>
        </w:tc>
        <w:tc>
          <w:tcPr>
            <w:tcW w:w="680" w:type="dxa"/>
            <w:tcBorders>
              <w:top w:val="nil"/>
              <w:left w:val="nil"/>
              <w:bottom w:val="single" w:sz="4" w:space="0" w:color="auto"/>
              <w:right w:val="single" w:sz="4" w:space="0" w:color="auto"/>
            </w:tcBorders>
            <w:shd w:val="clear" w:color="000000" w:fill="FFFFFF"/>
            <w:noWrap/>
            <w:vAlign w:val="bottom"/>
            <w:hideMark/>
          </w:tcPr>
          <w:p w14:paraId="24F3E717"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1572</w:t>
            </w:r>
          </w:p>
        </w:tc>
        <w:tc>
          <w:tcPr>
            <w:tcW w:w="681" w:type="dxa"/>
            <w:tcBorders>
              <w:top w:val="nil"/>
              <w:left w:val="nil"/>
              <w:bottom w:val="single" w:sz="4" w:space="0" w:color="auto"/>
              <w:right w:val="single" w:sz="4" w:space="0" w:color="auto"/>
            </w:tcBorders>
            <w:shd w:val="clear" w:color="000000" w:fill="FFFFFF"/>
            <w:noWrap/>
            <w:vAlign w:val="bottom"/>
            <w:hideMark/>
          </w:tcPr>
          <w:p w14:paraId="3BF524C3"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1478</w:t>
            </w:r>
          </w:p>
        </w:tc>
        <w:tc>
          <w:tcPr>
            <w:tcW w:w="680" w:type="dxa"/>
            <w:tcBorders>
              <w:top w:val="nil"/>
              <w:left w:val="nil"/>
              <w:bottom w:val="single" w:sz="4" w:space="0" w:color="auto"/>
              <w:right w:val="single" w:sz="4" w:space="0" w:color="auto"/>
            </w:tcBorders>
            <w:shd w:val="clear" w:color="000000" w:fill="FFFFFF"/>
            <w:noWrap/>
            <w:vAlign w:val="bottom"/>
            <w:hideMark/>
          </w:tcPr>
          <w:p w14:paraId="46902AA6" w14:textId="4F2CB829"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105,6</w:t>
            </w:r>
          </w:p>
        </w:tc>
        <w:tc>
          <w:tcPr>
            <w:tcW w:w="681" w:type="dxa"/>
            <w:tcBorders>
              <w:top w:val="nil"/>
              <w:left w:val="nil"/>
              <w:bottom w:val="single" w:sz="4" w:space="0" w:color="auto"/>
              <w:right w:val="single" w:sz="4" w:space="0" w:color="auto"/>
            </w:tcBorders>
            <w:shd w:val="clear" w:color="000000" w:fill="FFFFFF"/>
            <w:noWrap/>
            <w:vAlign w:val="bottom"/>
            <w:hideMark/>
          </w:tcPr>
          <w:p w14:paraId="23C10C08" w14:textId="7DF5356F"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112,3</w:t>
            </w:r>
          </w:p>
        </w:tc>
        <w:tc>
          <w:tcPr>
            <w:tcW w:w="142" w:type="dxa"/>
            <w:tcBorders>
              <w:top w:val="nil"/>
              <w:left w:val="nil"/>
              <w:bottom w:val="single" w:sz="4" w:space="0" w:color="auto"/>
              <w:right w:val="single" w:sz="4" w:space="0" w:color="auto"/>
            </w:tcBorders>
            <w:shd w:val="clear" w:color="000000" w:fill="FFFFFF"/>
            <w:noWrap/>
            <w:vAlign w:val="bottom"/>
            <w:hideMark/>
          </w:tcPr>
          <w:p w14:paraId="3FF74DB2" w14:textId="77777777" w:rsidR="00C9417B" w:rsidRPr="005367E0" w:rsidRDefault="00C9417B" w:rsidP="00C9417B">
            <w:pPr>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 </w:t>
            </w:r>
          </w:p>
        </w:tc>
        <w:tc>
          <w:tcPr>
            <w:tcW w:w="714" w:type="dxa"/>
            <w:tcBorders>
              <w:top w:val="nil"/>
              <w:left w:val="nil"/>
              <w:bottom w:val="single" w:sz="4" w:space="0" w:color="auto"/>
              <w:right w:val="single" w:sz="4" w:space="0" w:color="auto"/>
            </w:tcBorders>
            <w:shd w:val="clear" w:color="000000" w:fill="FFFFFF"/>
            <w:noWrap/>
            <w:vAlign w:val="bottom"/>
            <w:hideMark/>
          </w:tcPr>
          <w:p w14:paraId="0D6C87C0"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1134</w:t>
            </w:r>
          </w:p>
        </w:tc>
        <w:tc>
          <w:tcPr>
            <w:tcW w:w="714" w:type="dxa"/>
            <w:tcBorders>
              <w:top w:val="nil"/>
              <w:left w:val="nil"/>
              <w:bottom w:val="single" w:sz="4" w:space="0" w:color="auto"/>
              <w:right w:val="single" w:sz="4" w:space="0" w:color="auto"/>
            </w:tcBorders>
            <w:shd w:val="clear" w:color="000000" w:fill="FFFFFF"/>
            <w:noWrap/>
            <w:vAlign w:val="bottom"/>
            <w:hideMark/>
          </w:tcPr>
          <w:p w14:paraId="17A07B50"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1459</w:t>
            </w:r>
          </w:p>
        </w:tc>
        <w:tc>
          <w:tcPr>
            <w:tcW w:w="715" w:type="dxa"/>
            <w:tcBorders>
              <w:top w:val="nil"/>
              <w:left w:val="nil"/>
              <w:bottom w:val="single" w:sz="4" w:space="0" w:color="auto"/>
              <w:right w:val="single" w:sz="4" w:space="0" w:color="auto"/>
            </w:tcBorders>
            <w:shd w:val="clear" w:color="000000" w:fill="FFFFFF"/>
            <w:noWrap/>
            <w:vAlign w:val="bottom"/>
            <w:hideMark/>
          </w:tcPr>
          <w:p w14:paraId="02A76623"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1124</w:t>
            </w:r>
          </w:p>
        </w:tc>
        <w:tc>
          <w:tcPr>
            <w:tcW w:w="714" w:type="dxa"/>
            <w:tcBorders>
              <w:top w:val="nil"/>
              <w:left w:val="nil"/>
              <w:bottom w:val="single" w:sz="4" w:space="0" w:color="auto"/>
              <w:right w:val="single" w:sz="4" w:space="0" w:color="auto"/>
            </w:tcBorders>
            <w:shd w:val="clear" w:color="000000" w:fill="FFFFFF"/>
            <w:noWrap/>
            <w:vAlign w:val="bottom"/>
            <w:hideMark/>
          </w:tcPr>
          <w:p w14:paraId="6B05F76C" w14:textId="617A58A4"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77,7</w:t>
            </w:r>
          </w:p>
        </w:tc>
        <w:tc>
          <w:tcPr>
            <w:tcW w:w="715" w:type="dxa"/>
            <w:tcBorders>
              <w:top w:val="nil"/>
              <w:left w:val="nil"/>
              <w:bottom w:val="single" w:sz="4" w:space="0" w:color="auto"/>
              <w:right w:val="single" w:sz="4" w:space="0" w:color="auto"/>
            </w:tcBorders>
            <w:shd w:val="clear" w:color="000000" w:fill="FFFFFF"/>
            <w:noWrap/>
            <w:vAlign w:val="bottom"/>
            <w:hideMark/>
          </w:tcPr>
          <w:p w14:paraId="5EF1D89B" w14:textId="0BDEB50B"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100,9</w:t>
            </w:r>
          </w:p>
        </w:tc>
      </w:tr>
      <w:tr w:rsidR="005367E0" w:rsidRPr="005367E0" w14:paraId="6772D704" w14:textId="77777777" w:rsidTr="00F95A8E">
        <w:trPr>
          <w:trHeight w:val="300"/>
        </w:trPr>
        <w:tc>
          <w:tcPr>
            <w:tcW w:w="1956" w:type="dxa"/>
            <w:tcBorders>
              <w:top w:val="nil"/>
              <w:left w:val="single" w:sz="4" w:space="0" w:color="auto"/>
              <w:bottom w:val="single" w:sz="4" w:space="0" w:color="auto"/>
              <w:right w:val="single" w:sz="4" w:space="0" w:color="auto"/>
            </w:tcBorders>
            <w:shd w:val="clear" w:color="auto" w:fill="auto"/>
            <w:noWrap/>
            <w:vAlign w:val="bottom"/>
            <w:hideMark/>
          </w:tcPr>
          <w:p w14:paraId="13665522" w14:textId="77777777" w:rsidR="00C9417B" w:rsidRPr="00F95A8E" w:rsidRDefault="00C9417B" w:rsidP="00C9417B">
            <w:pPr>
              <w:rPr>
                <w:rFonts w:asciiTheme="majorHAnsi" w:eastAsia="Times New Roman" w:hAnsiTheme="majorHAnsi" w:cs="Times New Roman"/>
                <w:color w:val="000000"/>
                <w:sz w:val="22"/>
                <w:szCs w:val="22"/>
                <w:lang w:val="fr-BE" w:eastAsia="fr-BE"/>
              </w:rPr>
            </w:pPr>
            <w:r w:rsidRPr="00F95A8E">
              <w:rPr>
                <w:rFonts w:asciiTheme="majorHAnsi" w:eastAsia="Times New Roman" w:hAnsiTheme="majorHAnsi" w:cs="Times New Roman"/>
                <w:color w:val="000000"/>
                <w:sz w:val="22"/>
                <w:szCs w:val="22"/>
                <w:lang w:val="fr-BE" w:eastAsia="fr-BE"/>
              </w:rPr>
              <w:t>Alone widowed</w:t>
            </w:r>
          </w:p>
        </w:tc>
        <w:tc>
          <w:tcPr>
            <w:tcW w:w="680" w:type="dxa"/>
            <w:tcBorders>
              <w:top w:val="nil"/>
              <w:left w:val="nil"/>
              <w:bottom w:val="single" w:sz="4" w:space="0" w:color="auto"/>
              <w:right w:val="single" w:sz="4" w:space="0" w:color="auto"/>
            </w:tcBorders>
            <w:shd w:val="clear" w:color="000000" w:fill="FFFFFF"/>
            <w:noWrap/>
            <w:vAlign w:val="bottom"/>
            <w:hideMark/>
          </w:tcPr>
          <w:p w14:paraId="57DCBC1D"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6110</w:t>
            </w:r>
          </w:p>
        </w:tc>
        <w:tc>
          <w:tcPr>
            <w:tcW w:w="680" w:type="dxa"/>
            <w:tcBorders>
              <w:top w:val="nil"/>
              <w:left w:val="nil"/>
              <w:bottom w:val="single" w:sz="4" w:space="0" w:color="auto"/>
              <w:right w:val="single" w:sz="4" w:space="0" w:color="auto"/>
            </w:tcBorders>
            <w:shd w:val="clear" w:color="000000" w:fill="FFFFFF"/>
            <w:noWrap/>
            <w:vAlign w:val="bottom"/>
            <w:hideMark/>
          </w:tcPr>
          <w:p w14:paraId="4A29784E"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7639</w:t>
            </w:r>
          </w:p>
        </w:tc>
        <w:tc>
          <w:tcPr>
            <w:tcW w:w="681" w:type="dxa"/>
            <w:tcBorders>
              <w:top w:val="nil"/>
              <w:left w:val="nil"/>
              <w:bottom w:val="single" w:sz="4" w:space="0" w:color="auto"/>
              <w:right w:val="single" w:sz="4" w:space="0" w:color="auto"/>
            </w:tcBorders>
            <w:shd w:val="clear" w:color="000000" w:fill="FFFFFF"/>
            <w:noWrap/>
            <w:vAlign w:val="bottom"/>
            <w:hideMark/>
          </w:tcPr>
          <w:p w14:paraId="33F92506"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6017</w:t>
            </w:r>
          </w:p>
        </w:tc>
        <w:tc>
          <w:tcPr>
            <w:tcW w:w="680" w:type="dxa"/>
            <w:tcBorders>
              <w:top w:val="nil"/>
              <w:left w:val="nil"/>
              <w:bottom w:val="single" w:sz="4" w:space="0" w:color="auto"/>
              <w:right w:val="single" w:sz="4" w:space="0" w:color="auto"/>
            </w:tcBorders>
            <w:shd w:val="clear" w:color="000000" w:fill="FFFFFF"/>
            <w:noWrap/>
            <w:vAlign w:val="bottom"/>
            <w:hideMark/>
          </w:tcPr>
          <w:p w14:paraId="780E251A" w14:textId="01A1E187"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80,0</w:t>
            </w:r>
          </w:p>
        </w:tc>
        <w:tc>
          <w:tcPr>
            <w:tcW w:w="681" w:type="dxa"/>
            <w:tcBorders>
              <w:top w:val="nil"/>
              <w:left w:val="nil"/>
              <w:bottom w:val="single" w:sz="4" w:space="0" w:color="auto"/>
              <w:right w:val="single" w:sz="4" w:space="0" w:color="auto"/>
            </w:tcBorders>
            <w:shd w:val="clear" w:color="000000" w:fill="FFFFFF"/>
            <w:noWrap/>
            <w:vAlign w:val="bottom"/>
            <w:hideMark/>
          </w:tcPr>
          <w:p w14:paraId="51B2530D" w14:textId="430FD48A"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101,5</w:t>
            </w:r>
          </w:p>
        </w:tc>
        <w:tc>
          <w:tcPr>
            <w:tcW w:w="142" w:type="dxa"/>
            <w:tcBorders>
              <w:top w:val="nil"/>
              <w:left w:val="nil"/>
              <w:bottom w:val="single" w:sz="4" w:space="0" w:color="auto"/>
              <w:right w:val="single" w:sz="4" w:space="0" w:color="auto"/>
            </w:tcBorders>
            <w:shd w:val="clear" w:color="000000" w:fill="FFFFFF"/>
            <w:noWrap/>
            <w:vAlign w:val="bottom"/>
            <w:hideMark/>
          </w:tcPr>
          <w:p w14:paraId="4128F642" w14:textId="77777777" w:rsidR="00C9417B" w:rsidRPr="005367E0" w:rsidRDefault="00C9417B" w:rsidP="00C9417B">
            <w:pPr>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 </w:t>
            </w:r>
          </w:p>
        </w:tc>
        <w:tc>
          <w:tcPr>
            <w:tcW w:w="714" w:type="dxa"/>
            <w:tcBorders>
              <w:top w:val="nil"/>
              <w:left w:val="nil"/>
              <w:bottom w:val="single" w:sz="4" w:space="0" w:color="auto"/>
              <w:right w:val="single" w:sz="4" w:space="0" w:color="auto"/>
            </w:tcBorders>
            <w:shd w:val="clear" w:color="000000" w:fill="FFFFFF"/>
            <w:noWrap/>
            <w:vAlign w:val="bottom"/>
            <w:hideMark/>
          </w:tcPr>
          <w:p w14:paraId="5B7C2854"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13833</w:t>
            </w:r>
          </w:p>
        </w:tc>
        <w:tc>
          <w:tcPr>
            <w:tcW w:w="714" w:type="dxa"/>
            <w:tcBorders>
              <w:top w:val="nil"/>
              <w:left w:val="nil"/>
              <w:bottom w:val="single" w:sz="4" w:space="0" w:color="auto"/>
              <w:right w:val="single" w:sz="4" w:space="0" w:color="auto"/>
            </w:tcBorders>
            <w:shd w:val="clear" w:color="000000" w:fill="FFFFFF"/>
            <w:noWrap/>
            <w:vAlign w:val="bottom"/>
            <w:hideMark/>
          </w:tcPr>
          <w:p w14:paraId="4523FD00"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14517</w:t>
            </w:r>
          </w:p>
        </w:tc>
        <w:tc>
          <w:tcPr>
            <w:tcW w:w="715" w:type="dxa"/>
            <w:tcBorders>
              <w:top w:val="nil"/>
              <w:left w:val="nil"/>
              <w:bottom w:val="single" w:sz="4" w:space="0" w:color="auto"/>
              <w:right w:val="single" w:sz="4" w:space="0" w:color="auto"/>
            </w:tcBorders>
            <w:shd w:val="clear" w:color="000000" w:fill="FFFFFF"/>
            <w:noWrap/>
            <w:vAlign w:val="bottom"/>
            <w:hideMark/>
          </w:tcPr>
          <w:p w14:paraId="10ADC4B7"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14662</w:t>
            </w:r>
          </w:p>
        </w:tc>
        <w:tc>
          <w:tcPr>
            <w:tcW w:w="714" w:type="dxa"/>
            <w:tcBorders>
              <w:top w:val="nil"/>
              <w:left w:val="nil"/>
              <w:bottom w:val="single" w:sz="4" w:space="0" w:color="auto"/>
              <w:right w:val="single" w:sz="4" w:space="0" w:color="auto"/>
            </w:tcBorders>
            <w:shd w:val="clear" w:color="000000" w:fill="FFFFFF"/>
            <w:noWrap/>
            <w:vAlign w:val="bottom"/>
            <w:hideMark/>
          </w:tcPr>
          <w:p w14:paraId="7560608B" w14:textId="2DA77275"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95,3</w:t>
            </w:r>
          </w:p>
        </w:tc>
        <w:tc>
          <w:tcPr>
            <w:tcW w:w="715" w:type="dxa"/>
            <w:tcBorders>
              <w:top w:val="nil"/>
              <w:left w:val="nil"/>
              <w:bottom w:val="single" w:sz="4" w:space="0" w:color="auto"/>
              <w:right w:val="single" w:sz="4" w:space="0" w:color="auto"/>
            </w:tcBorders>
            <w:shd w:val="clear" w:color="000000" w:fill="FFFFFF"/>
            <w:noWrap/>
            <w:vAlign w:val="bottom"/>
            <w:hideMark/>
          </w:tcPr>
          <w:p w14:paraId="0D6499F4" w14:textId="79D425DC"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94,3</w:t>
            </w:r>
          </w:p>
        </w:tc>
      </w:tr>
      <w:tr w:rsidR="005367E0" w:rsidRPr="005367E0" w14:paraId="426439CA" w14:textId="77777777" w:rsidTr="00F95A8E">
        <w:trPr>
          <w:trHeight w:val="300"/>
        </w:trPr>
        <w:tc>
          <w:tcPr>
            <w:tcW w:w="1956" w:type="dxa"/>
            <w:tcBorders>
              <w:top w:val="nil"/>
              <w:left w:val="single" w:sz="4" w:space="0" w:color="auto"/>
              <w:bottom w:val="single" w:sz="4" w:space="0" w:color="auto"/>
              <w:right w:val="single" w:sz="4" w:space="0" w:color="auto"/>
            </w:tcBorders>
            <w:shd w:val="clear" w:color="auto" w:fill="auto"/>
            <w:noWrap/>
            <w:vAlign w:val="bottom"/>
            <w:hideMark/>
          </w:tcPr>
          <w:p w14:paraId="3BAFA931" w14:textId="77777777" w:rsidR="00C9417B" w:rsidRPr="00F95A8E" w:rsidRDefault="00C9417B" w:rsidP="00C9417B">
            <w:pPr>
              <w:rPr>
                <w:rFonts w:asciiTheme="majorHAnsi" w:eastAsia="Times New Roman" w:hAnsiTheme="majorHAnsi" w:cs="Times New Roman"/>
                <w:color w:val="000000"/>
                <w:sz w:val="22"/>
                <w:szCs w:val="22"/>
                <w:lang w:val="fr-BE" w:eastAsia="fr-BE"/>
              </w:rPr>
            </w:pPr>
            <w:r w:rsidRPr="00F95A8E">
              <w:rPr>
                <w:rFonts w:asciiTheme="majorHAnsi" w:eastAsia="Times New Roman" w:hAnsiTheme="majorHAnsi" w:cs="Times New Roman"/>
                <w:color w:val="000000"/>
                <w:sz w:val="22"/>
                <w:szCs w:val="22"/>
                <w:lang w:val="fr-BE" w:eastAsia="fr-BE"/>
              </w:rPr>
              <w:t>Alone divorced or separated</w:t>
            </w:r>
          </w:p>
        </w:tc>
        <w:tc>
          <w:tcPr>
            <w:tcW w:w="680" w:type="dxa"/>
            <w:tcBorders>
              <w:top w:val="nil"/>
              <w:left w:val="nil"/>
              <w:bottom w:val="single" w:sz="4" w:space="0" w:color="auto"/>
              <w:right w:val="single" w:sz="4" w:space="0" w:color="auto"/>
            </w:tcBorders>
            <w:shd w:val="clear" w:color="000000" w:fill="FFFFFF"/>
            <w:noWrap/>
            <w:vAlign w:val="bottom"/>
            <w:hideMark/>
          </w:tcPr>
          <w:p w14:paraId="5CFA967D"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2562</w:t>
            </w:r>
          </w:p>
        </w:tc>
        <w:tc>
          <w:tcPr>
            <w:tcW w:w="680" w:type="dxa"/>
            <w:tcBorders>
              <w:top w:val="nil"/>
              <w:left w:val="nil"/>
              <w:bottom w:val="single" w:sz="4" w:space="0" w:color="auto"/>
              <w:right w:val="single" w:sz="4" w:space="0" w:color="auto"/>
            </w:tcBorders>
            <w:shd w:val="clear" w:color="000000" w:fill="FFFFFF"/>
            <w:noWrap/>
            <w:vAlign w:val="bottom"/>
            <w:hideMark/>
          </w:tcPr>
          <w:p w14:paraId="146C2383"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1338</w:t>
            </w:r>
          </w:p>
        </w:tc>
        <w:tc>
          <w:tcPr>
            <w:tcW w:w="681" w:type="dxa"/>
            <w:tcBorders>
              <w:top w:val="nil"/>
              <w:left w:val="nil"/>
              <w:bottom w:val="single" w:sz="4" w:space="0" w:color="auto"/>
              <w:right w:val="single" w:sz="4" w:space="0" w:color="auto"/>
            </w:tcBorders>
            <w:shd w:val="clear" w:color="000000" w:fill="FFFFFF"/>
            <w:noWrap/>
            <w:vAlign w:val="bottom"/>
            <w:hideMark/>
          </w:tcPr>
          <w:p w14:paraId="139B13DC"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2330</w:t>
            </w:r>
          </w:p>
        </w:tc>
        <w:tc>
          <w:tcPr>
            <w:tcW w:w="680" w:type="dxa"/>
            <w:tcBorders>
              <w:top w:val="nil"/>
              <w:left w:val="nil"/>
              <w:bottom w:val="single" w:sz="4" w:space="0" w:color="auto"/>
              <w:right w:val="single" w:sz="4" w:space="0" w:color="auto"/>
            </w:tcBorders>
            <w:shd w:val="clear" w:color="000000" w:fill="FFFFFF"/>
            <w:noWrap/>
            <w:vAlign w:val="bottom"/>
            <w:hideMark/>
          </w:tcPr>
          <w:p w14:paraId="3F55AC66" w14:textId="3A55A959"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191,4</w:t>
            </w:r>
          </w:p>
        </w:tc>
        <w:tc>
          <w:tcPr>
            <w:tcW w:w="681" w:type="dxa"/>
            <w:tcBorders>
              <w:top w:val="nil"/>
              <w:left w:val="nil"/>
              <w:bottom w:val="single" w:sz="4" w:space="0" w:color="auto"/>
              <w:right w:val="single" w:sz="4" w:space="0" w:color="auto"/>
            </w:tcBorders>
            <w:shd w:val="clear" w:color="000000" w:fill="FFFFFF"/>
            <w:noWrap/>
            <w:vAlign w:val="bottom"/>
            <w:hideMark/>
          </w:tcPr>
          <w:p w14:paraId="54C397D9" w14:textId="51599DA7"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110,0</w:t>
            </w:r>
          </w:p>
        </w:tc>
        <w:tc>
          <w:tcPr>
            <w:tcW w:w="142" w:type="dxa"/>
            <w:tcBorders>
              <w:top w:val="nil"/>
              <w:left w:val="nil"/>
              <w:bottom w:val="single" w:sz="4" w:space="0" w:color="auto"/>
              <w:right w:val="single" w:sz="4" w:space="0" w:color="auto"/>
            </w:tcBorders>
            <w:shd w:val="clear" w:color="000000" w:fill="FFFFFF"/>
            <w:noWrap/>
            <w:vAlign w:val="bottom"/>
            <w:hideMark/>
          </w:tcPr>
          <w:p w14:paraId="6EA55504" w14:textId="77777777" w:rsidR="00C9417B" w:rsidRPr="005367E0" w:rsidRDefault="00C9417B" w:rsidP="00C9417B">
            <w:pPr>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 </w:t>
            </w:r>
          </w:p>
        </w:tc>
        <w:tc>
          <w:tcPr>
            <w:tcW w:w="714" w:type="dxa"/>
            <w:tcBorders>
              <w:top w:val="nil"/>
              <w:left w:val="nil"/>
              <w:bottom w:val="single" w:sz="4" w:space="0" w:color="auto"/>
              <w:right w:val="single" w:sz="4" w:space="0" w:color="auto"/>
            </w:tcBorders>
            <w:shd w:val="clear" w:color="000000" w:fill="FFFFFF"/>
            <w:noWrap/>
            <w:vAlign w:val="bottom"/>
            <w:hideMark/>
          </w:tcPr>
          <w:p w14:paraId="57BB7DF3"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1797</w:t>
            </w:r>
          </w:p>
        </w:tc>
        <w:tc>
          <w:tcPr>
            <w:tcW w:w="714" w:type="dxa"/>
            <w:tcBorders>
              <w:top w:val="nil"/>
              <w:left w:val="nil"/>
              <w:bottom w:val="single" w:sz="4" w:space="0" w:color="auto"/>
              <w:right w:val="single" w:sz="4" w:space="0" w:color="auto"/>
            </w:tcBorders>
            <w:shd w:val="clear" w:color="000000" w:fill="FFFFFF"/>
            <w:noWrap/>
            <w:vAlign w:val="bottom"/>
            <w:hideMark/>
          </w:tcPr>
          <w:p w14:paraId="4EDBCB16"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887</w:t>
            </w:r>
          </w:p>
        </w:tc>
        <w:tc>
          <w:tcPr>
            <w:tcW w:w="715" w:type="dxa"/>
            <w:tcBorders>
              <w:top w:val="nil"/>
              <w:left w:val="nil"/>
              <w:bottom w:val="single" w:sz="4" w:space="0" w:color="auto"/>
              <w:right w:val="single" w:sz="4" w:space="0" w:color="auto"/>
            </w:tcBorders>
            <w:shd w:val="clear" w:color="000000" w:fill="FFFFFF"/>
            <w:noWrap/>
            <w:vAlign w:val="bottom"/>
            <w:hideMark/>
          </w:tcPr>
          <w:p w14:paraId="610AF5D7"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1802</w:t>
            </w:r>
          </w:p>
        </w:tc>
        <w:tc>
          <w:tcPr>
            <w:tcW w:w="714" w:type="dxa"/>
            <w:tcBorders>
              <w:top w:val="nil"/>
              <w:left w:val="nil"/>
              <w:bottom w:val="single" w:sz="4" w:space="0" w:color="auto"/>
              <w:right w:val="single" w:sz="4" w:space="0" w:color="auto"/>
            </w:tcBorders>
            <w:shd w:val="clear" w:color="000000" w:fill="FFFFFF"/>
            <w:noWrap/>
            <w:vAlign w:val="bottom"/>
            <w:hideMark/>
          </w:tcPr>
          <w:p w14:paraId="7C8613B1" w14:textId="5ABD51F8"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202,6</w:t>
            </w:r>
          </w:p>
        </w:tc>
        <w:tc>
          <w:tcPr>
            <w:tcW w:w="715" w:type="dxa"/>
            <w:tcBorders>
              <w:top w:val="nil"/>
              <w:left w:val="nil"/>
              <w:bottom w:val="single" w:sz="4" w:space="0" w:color="auto"/>
              <w:right w:val="single" w:sz="4" w:space="0" w:color="auto"/>
            </w:tcBorders>
            <w:shd w:val="clear" w:color="000000" w:fill="FFFFFF"/>
            <w:noWrap/>
            <w:vAlign w:val="bottom"/>
            <w:hideMark/>
          </w:tcPr>
          <w:p w14:paraId="3EAE5E4B" w14:textId="2BFE8A43"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99,7</w:t>
            </w:r>
          </w:p>
        </w:tc>
      </w:tr>
      <w:tr w:rsidR="005367E0" w:rsidRPr="005367E0" w14:paraId="0F5E1E6C" w14:textId="77777777" w:rsidTr="00F95A8E">
        <w:trPr>
          <w:trHeight w:val="300"/>
        </w:trPr>
        <w:tc>
          <w:tcPr>
            <w:tcW w:w="1956" w:type="dxa"/>
            <w:tcBorders>
              <w:top w:val="nil"/>
              <w:left w:val="single" w:sz="4" w:space="0" w:color="auto"/>
              <w:bottom w:val="single" w:sz="4" w:space="0" w:color="auto"/>
              <w:right w:val="single" w:sz="4" w:space="0" w:color="auto"/>
            </w:tcBorders>
            <w:shd w:val="clear" w:color="auto" w:fill="auto"/>
            <w:noWrap/>
            <w:vAlign w:val="bottom"/>
            <w:hideMark/>
          </w:tcPr>
          <w:p w14:paraId="1A09CC5B" w14:textId="77777777" w:rsidR="00C9417B" w:rsidRPr="00F95A8E" w:rsidRDefault="00C9417B" w:rsidP="00C9417B">
            <w:pPr>
              <w:rPr>
                <w:rFonts w:asciiTheme="majorHAnsi" w:eastAsia="Times New Roman" w:hAnsiTheme="majorHAnsi" w:cs="Times New Roman"/>
                <w:color w:val="000000"/>
                <w:sz w:val="22"/>
                <w:szCs w:val="22"/>
                <w:lang w:val="fr-BE" w:eastAsia="fr-BE"/>
              </w:rPr>
            </w:pPr>
            <w:r w:rsidRPr="00F95A8E">
              <w:rPr>
                <w:rFonts w:asciiTheme="majorHAnsi" w:eastAsia="Times New Roman" w:hAnsiTheme="majorHAnsi" w:cs="Times New Roman"/>
                <w:color w:val="000000"/>
                <w:sz w:val="22"/>
                <w:szCs w:val="22"/>
                <w:lang w:val="fr-BE" w:eastAsia="fr-BE"/>
              </w:rPr>
              <w:t>With spouse</w:t>
            </w:r>
          </w:p>
        </w:tc>
        <w:tc>
          <w:tcPr>
            <w:tcW w:w="680" w:type="dxa"/>
            <w:tcBorders>
              <w:top w:val="nil"/>
              <w:left w:val="nil"/>
              <w:bottom w:val="single" w:sz="4" w:space="0" w:color="auto"/>
              <w:right w:val="single" w:sz="4" w:space="0" w:color="auto"/>
            </w:tcBorders>
            <w:shd w:val="clear" w:color="000000" w:fill="FFFFFF"/>
            <w:noWrap/>
            <w:vAlign w:val="bottom"/>
            <w:hideMark/>
          </w:tcPr>
          <w:p w14:paraId="04F18DF6"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21155</w:t>
            </w:r>
          </w:p>
        </w:tc>
        <w:tc>
          <w:tcPr>
            <w:tcW w:w="680" w:type="dxa"/>
            <w:tcBorders>
              <w:top w:val="nil"/>
              <w:left w:val="nil"/>
              <w:bottom w:val="single" w:sz="4" w:space="0" w:color="auto"/>
              <w:right w:val="single" w:sz="4" w:space="0" w:color="auto"/>
            </w:tcBorders>
            <w:shd w:val="clear" w:color="000000" w:fill="FFFFFF"/>
            <w:noWrap/>
            <w:vAlign w:val="bottom"/>
            <w:hideMark/>
          </w:tcPr>
          <w:p w14:paraId="41DFD41C"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18761</w:t>
            </w:r>
          </w:p>
        </w:tc>
        <w:tc>
          <w:tcPr>
            <w:tcW w:w="681" w:type="dxa"/>
            <w:tcBorders>
              <w:top w:val="nil"/>
              <w:left w:val="nil"/>
              <w:bottom w:val="single" w:sz="4" w:space="0" w:color="auto"/>
              <w:right w:val="single" w:sz="4" w:space="0" w:color="auto"/>
            </w:tcBorders>
            <w:shd w:val="clear" w:color="000000" w:fill="FFFFFF"/>
            <w:noWrap/>
            <w:vAlign w:val="bottom"/>
            <w:hideMark/>
          </w:tcPr>
          <w:p w14:paraId="42D9036C"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22732</w:t>
            </w:r>
          </w:p>
        </w:tc>
        <w:tc>
          <w:tcPr>
            <w:tcW w:w="680" w:type="dxa"/>
            <w:tcBorders>
              <w:top w:val="nil"/>
              <w:left w:val="nil"/>
              <w:bottom w:val="single" w:sz="4" w:space="0" w:color="auto"/>
              <w:right w:val="single" w:sz="4" w:space="0" w:color="auto"/>
            </w:tcBorders>
            <w:shd w:val="clear" w:color="000000" w:fill="FFFFFF"/>
            <w:noWrap/>
            <w:vAlign w:val="bottom"/>
            <w:hideMark/>
          </w:tcPr>
          <w:p w14:paraId="1A652A7E" w14:textId="034E82BE"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112,8</w:t>
            </w:r>
          </w:p>
        </w:tc>
        <w:tc>
          <w:tcPr>
            <w:tcW w:w="681" w:type="dxa"/>
            <w:tcBorders>
              <w:top w:val="nil"/>
              <w:left w:val="nil"/>
              <w:bottom w:val="single" w:sz="4" w:space="0" w:color="auto"/>
              <w:right w:val="single" w:sz="4" w:space="0" w:color="auto"/>
            </w:tcBorders>
            <w:shd w:val="clear" w:color="000000" w:fill="FFFFFF"/>
            <w:noWrap/>
            <w:vAlign w:val="bottom"/>
            <w:hideMark/>
          </w:tcPr>
          <w:p w14:paraId="361BD899" w14:textId="7602029B"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93,1</w:t>
            </w:r>
          </w:p>
        </w:tc>
        <w:tc>
          <w:tcPr>
            <w:tcW w:w="142" w:type="dxa"/>
            <w:tcBorders>
              <w:top w:val="nil"/>
              <w:left w:val="nil"/>
              <w:bottom w:val="single" w:sz="4" w:space="0" w:color="auto"/>
              <w:right w:val="single" w:sz="4" w:space="0" w:color="auto"/>
            </w:tcBorders>
            <w:shd w:val="clear" w:color="000000" w:fill="FFFFFF"/>
            <w:noWrap/>
            <w:vAlign w:val="bottom"/>
            <w:hideMark/>
          </w:tcPr>
          <w:p w14:paraId="65514198" w14:textId="77777777" w:rsidR="00C9417B" w:rsidRPr="005367E0" w:rsidRDefault="00C9417B" w:rsidP="00C9417B">
            <w:pPr>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 </w:t>
            </w:r>
          </w:p>
        </w:tc>
        <w:tc>
          <w:tcPr>
            <w:tcW w:w="714" w:type="dxa"/>
            <w:tcBorders>
              <w:top w:val="nil"/>
              <w:left w:val="nil"/>
              <w:bottom w:val="single" w:sz="4" w:space="0" w:color="auto"/>
              <w:right w:val="single" w:sz="4" w:space="0" w:color="auto"/>
            </w:tcBorders>
            <w:shd w:val="clear" w:color="000000" w:fill="FFFFFF"/>
            <w:noWrap/>
            <w:vAlign w:val="bottom"/>
            <w:hideMark/>
          </w:tcPr>
          <w:p w14:paraId="794E4027"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8973</w:t>
            </w:r>
          </w:p>
        </w:tc>
        <w:tc>
          <w:tcPr>
            <w:tcW w:w="714" w:type="dxa"/>
            <w:tcBorders>
              <w:top w:val="nil"/>
              <w:left w:val="nil"/>
              <w:bottom w:val="single" w:sz="4" w:space="0" w:color="auto"/>
              <w:right w:val="single" w:sz="4" w:space="0" w:color="auto"/>
            </w:tcBorders>
            <w:shd w:val="clear" w:color="000000" w:fill="FFFFFF"/>
            <w:noWrap/>
            <w:vAlign w:val="bottom"/>
            <w:hideMark/>
          </w:tcPr>
          <w:p w14:paraId="4A001380"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6307</w:t>
            </w:r>
          </w:p>
        </w:tc>
        <w:tc>
          <w:tcPr>
            <w:tcW w:w="715" w:type="dxa"/>
            <w:tcBorders>
              <w:top w:val="nil"/>
              <w:left w:val="nil"/>
              <w:bottom w:val="single" w:sz="4" w:space="0" w:color="auto"/>
              <w:right w:val="single" w:sz="4" w:space="0" w:color="auto"/>
            </w:tcBorders>
            <w:shd w:val="clear" w:color="000000" w:fill="FFFFFF"/>
            <w:noWrap/>
            <w:vAlign w:val="bottom"/>
            <w:hideMark/>
          </w:tcPr>
          <w:p w14:paraId="7FF8EEBC"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10145</w:t>
            </w:r>
          </w:p>
        </w:tc>
        <w:tc>
          <w:tcPr>
            <w:tcW w:w="714" w:type="dxa"/>
            <w:tcBorders>
              <w:top w:val="nil"/>
              <w:left w:val="nil"/>
              <w:bottom w:val="single" w:sz="4" w:space="0" w:color="auto"/>
              <w:right w:val="single" w:sz="4" w:space="0" w:color="auto"/>
            </w:tcBorders>
            <w:shd w:val="clear" w:color="000000" w:fill="FFFFFF"/>
            <w:noWrap/>
            <w:vAlign w:val="bottom"/>
            <w:hideMark/>
          </w:tcPr>
          <w:p w14:paraId="0BEBAF51" w14:textId="5F0AE6C8"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142,3</w:t>
            </w:r>
          </w:p>
        </w:tc>
        <w:tc>
          <w:tcPr>
            <w:tcW w:w="715" w:type="dxa"/>
            <w:tcBorders>
              <w:top w:val="nil"/>
              <w:left w:val="nil"/>
              <w:bottom w:val="single" w:sz="4" w:space="0" w:color="auto"/>
              <w:right w:val="single" w:sz="4" w:space="0" w:color="auto"/>
            </w:tcBorders>
            <w:shd w:val="clear" w:color="000000" w:fill="FFFFFF"/>
            <w:noWrap/>
            <w:vAlign w:val="bottom"/>
            <w:hideMark/>
          </w:tcPr>
          <w:p w14:paraId="6BB16434" w14:textId="40447A92"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88,4</w:t>
            </w:r>
          </w:p>
        </w:tc>
      </w:tr>
      <w:tr w:rsidR="005367E0" w:rsidRPr="005367E0" w14:paraId="5D2D511A" w14:textId="77777777" w:rsidTr="00F95A8E">
        <w:trPr>
          <w:trHeight w:val="300"/>
        </w:trPr>
        <w:tc>
          <w:tcPr>
            <w:tcW w:w="1956" w:type="dxa"/>
            <w:tcBorders>
              <w:top w:val="nil"/>
              <w:left w:val="single" w:sz="4" w:space="0" w:color="auto"/>
              <w:bottom w:val="single" w:sz="4" w:space="0" w:color="auto"/>
              <w:right w:val="single" w:sz="4" w:space="0" w:color="auto"/>
            </w:tcBorders>
            <w:shd w:val="clear" w:color="auto" w:fill="auto"/>
            <w:noWrap/>
            <w:vAlign w:val="bottom"/>
            <w:hideMark/>
          </w:tcPr>
          <w:p w14:paraId="28C1CEB5" w14:textId="77777777" w:rsidR="00C9417B" w:rsidRPr="00F95A8E" w:rsidRDefault="00C9417B" w:rsidP="00C9417B">
            <w:pPr>
              <w:rPr>
                <w:rFonts w:asciiTheme="majorHAnsi" w:eastAsia="Times New Roman" w:hAnsiTheme="majorHAnsi" w:cs="Times New Roman"/>
                <w:color w:val="000000"/>
                <w:sz w:val="22"/>
                <w:szCs w:val="22"/>
                <w:lang w:val="fr-BE" w:eastAsia="fr-BE"/>
              </w:rPr>
            </w:pPr>
            <w:r w:rsidRPr="00F95A8E">
              <w:rPr>
                <w:rFonts w:asciiTheme="majorHAnsi" w:eastAsia="Times New Roman" w:hAnsiTheme="majorHAnsi" w:cs="Times New Roman"/>
                <w:color w:val="000000"/>
                <w:sz w:val="22"/>
                <w:szCs w:val="22"/>
                <w:lang w:val="fr-BE" w:eastAsia="fr-BE"/>
              </w:rPr>
              <w:t xml:space="preserve"> With partner </w:t>
            </w:r>
          </w:p>
        </w:tc>
        <w:tc>
          <w:tcPr>
            <w:tcW w:w="680" w:type="dxa"/>
            <w:tcBorders>
              <w:top w:val="nil"/>
              <w:left w:val="nil"/>
              <w:bottom w:val="single" w:sz="4" w:space="0" w:color="auto"/>
              <w:right w:val="single" w:sz="4" w:space="0" w:color="auto"/>
            </w:tcBorders>
            <w:shd w:val="clear" w:color="000000" w:fill="FFFFFF"/>
            <w:noWrap/>
            <w:vAlign w:val="bottom"/>
            <w:hideMark/>
          </w:tcPr>
          <w:p w14:paraId="2E23B572"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1410</w:t>
            </w:r>
          </w:p>
        </w:tc>
        <w:tc>
          <w:tcPr>
            <w:tcW w:w="680" w:type="dxa"/>
            <w:tcBorders>
              <w:top w:val="nil"/>
              <w:left w:val="nil"/>
              <w:bottom w:val="single" w:sz="4" w:space="0" w:color="auto"/>
              <w:right w:val="single" w:sz="4" w:space="0" w:color="auto"/>
            </w:tcBorders>
            <w:shd w:val="clear" w:color="000000" w:fill="FFFFFF"/>
            <w:noWrap/>
            <w:vAlign w:val="bottom"/>
            <w:hideMark/>
          </w:tcPr>
          <w:p w14:paraId="2AF49907"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1028</w:t>
            </w:r>
          </w:p>
        </w:tc>
        <w:tc>
          <w:tcPr>
            <w:tcW w:w="681" w:type="dxa"/>
            <w:tcBorders>
              <w:top w:val="nil"/>
              <w:left w:val="nil"/>
              <w:bottom w:val="single" w:sz="4" w:space="0" w:color="auto"/>
              <w:right w:val="single" w:sz="4" w:space="0" w:color="auto"/>
            </w:tcBorders>
            <w:shd w:val="clear" w:color="000000" w:fill="FFFFFF"/>
            <w:noWrap/>
            <w:vAlign w:val="bottom"/>
            <w:hideMark/>
          </w:tcPr>
          <w:p w14:paraId="049F6761"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1544</w:t>
            </w:r>
          </w:p>
        </w:tc>
        <w:tc>
          <w:tcPr>
            <w:tcW w:w="680" w:type="dxa"/>
            <w:tcBorders>
              <w:top w:val="nil"/>
              <w:left w:val="nil"/>
              <w:bottom w:val="single" w:sz="4" w:space="0" w:color="auto"/>
              <w:right w:val="single" w:sz="4" w:space="0" w:color="auto"/>
            </w:tcBorders>
            <w:shd w:val="clear" w:color="000000" w:fill="FFFFFF"/>
            <w:noWrap/>
            <w:vAlign w:val="bottom"/>
            <w:hideMark/>
          </w:tcPr>
          <w:p w14:paraId="724DB2CD" w14:textId="75FA75EE"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137,1</w:t>
            </w:r>
          </w:p>
        </w:tc>
        <w:tc>
          <w:tcPr>
            <w:tcW w:w="681" w:type="dxa"/>
            <w:tcBorders>
              <w:top w:val="nil"/>
              <w:left w:val="nil"/>
              <w:bottom w:val="single" w:sz="4" w:space="0" w:color="auto"/>
              <w:right w:val="single" w:sz="4" w:space="0" w:color="auto"/>
            </w:tcBorders>
            <w:shd w:val="clear" w:color="000000" w:fill="FFFFFF"/>
            <w:noWrap/>
            <w:vAlign w:val="bottom"/>
            <w:hideMark/>
          </w:tcPr>
          <w:p w14:paraId="29D15604" w14:textId="462AE693"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91,3</w:t>
            </w:r>
          </w:p>
        </w:tc>
        <w:tc>
          <w:tcPr>
            <w:tcW w:w="142" w:type="dxa"/>
            <w:tcBorders>
              <w:top w:val="nil"/>
              <w:left w:val="nil"/>
              <w:bottom w:val="single" w:sz="4" w:space="0" w:color="auto"/>
              <w:right w:val="single" w:sz="4" w:space="0" w:color="auto"/>
            </w:tcBorders>
            <w:shd w:val="clear" w:color="000000" w:fill="FFFFFF"/>
            <w:noWrap/>
            <w:vAlign w:val="bottom"/>
            <w:hideMark/>
          </w:tcPr>
          <w:p w14:paraId="5EDD8E86" w14:textId="77777777" w:rsidR="00C9417B" w:rsidRPr="005367E0" w:rsidRDefault="00C9417B" w:rsidP="00C9417B">
            <w:pPr>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 </w:t>
            </w:r>
          </w:p>
        </w:tc>
        <w:tc>
          <w:tcPr>
            <w:tcW w:w="714" w:type="dxa"/>
            <w:tcBorders>
              <w:top w:val="nil"/>
              <w:left w:val="nil"/>
              <w:bottom w:val="single" w:sz="4" w:space="0" w:color="auto"/>
              <w:right w:val="single" w:sz="4" w:space="0" w:color="auto"/>
            </w:tcBorders>
            <w:shd w:val="clear" w:color="000000" w:fill="FFFFFF"/>
            <w:noWrap/>
            <w:vAlign w:val="bottom"/>
            <w:hideMark/>
          </w:tcPr>
          <w:p w14:paraId="74B197EC"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697</w:t>
            </w:r>
          </w:p>
        </w:tc>
        <w:tc>
          <w:tcPr>
            <w:tcW w:w="714" w:type="dxa"/>
            <w:tcBorders>
              <w:top w:val="nil"/>
              <w:left w:val="nil"/>
              <w:bottom w:val="single" w:sz="4" w:space="0" w:color="auto"/>
              <w:right w:val="single" w:sz="4" w:space="0" w:color="auto"/>
            </w:tcBorders>
            <w:shd w:val="clear" w:color="000000" w:fill="FFFFFF"/>
            <w:noWrap/>
            <w:vAlign w:val="bottom"/>
            <w:hideMark/>
          </w:tcPr>
          <w:p w14:paraId="5C1E327E"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494</w:t>
            </w:r>
          </w:p>
        </w:tc>
        <w:tc>
          <w:tcPr>
            <w:tcW w:w="715" w:type="dxa"/>
            <w:tcBorders>
              <w:top w:val="nil"/>
              <w:left w:val="nil"/>
              <w:bottom w:val="single" w:sz="4" w:space="0" w:color="auto"/>
              <w:right w:val="single" w:sz="4" w:space="0" w:color="auto"/>
            </w:tcBorders>
            <w:shd w:val="clear" w:color="000000" w:fill="FFFFFF"/>
            <w:noWrap/>
            <w:vAlign w:val="bottom"/>
            <w:hideMark/>
          </w:tcPr>
          <w:p w14:paraId="0D83EC0F"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734</w:t>
            </w:r>
          </w:p>
        </w:tc>
        <w:tc>
          <w:tcPr>
            <w:tcW w:w="714" w:type="dxa"/>
            <w:tcBorders>
              <w:top w:val="nil"/>
              <w:left w:val="nil"/>
              <w:bottom w:val="single" w:sz="4" w:space="0" w:color="auto"/>
              <w:right w:val="single" w:sz="4" w:space="0" w:color="auto"/>
            </w:tcBorders>
            <w:shd w:val="clear" w:color="000000" w:fill="FFFFFF"/>
            <w:noWrap/>
            <w:vAlign w:val="bottom"/>
            <w:hideMark/>
          </w:tcPr>
          <w:p w14:paraId="1903BE96" w14:textId="1E1F0CCE"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141,2</w:t>
            </w:r>
          </w:p>
        </w:tc>
        <w:tc>
          <w:tcPr>
            <w:tcW w:w="715" w:type="dxa"/>
            <w:tcBorders>
              <w:top w:val="nil"/>
              <w:left w:val="nil"/>
              <w:bottom w:val="single" w:sz="4" w:space="0" w:color="auto"/>
              <w:right w:val="single" w:sz="4" w:space="0" w:color="auto"/>
            </w:tcBorders>
            <w:shd w:val="clear" w:color="000000" w:fill="FFFFFF"/>
            <w:noWrap/>
            <w:vAlign w:val="bottom"/>
            <w:hideMark/>
          </w:tcPr>
          <w:p w14:paraId="3FB350BE" w14:textId="283B058B"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95,0</w:t>
            </w:r>
          </w:p>
        </w:tc>
      </w:tr>
      <w:tr w:rsidR="005367E0" w:rsidRPr="005367E0" w14:paraId="3EEE6161" w14:textId="77777777" w:rsidTr="00F95A8E">
        <w:trPr>
          <w:trHeight w:val="300"/>
        </w:trPr>
        <w:tc>
          <w:tcPr>
            <w:tcW w:w="1956" w:type="dxa"/>
            <w:tcBorders>
              <w:top w:val="nil"/>
              <w:left w:val="single" w:sz="4" w:space="0" w:color="auto"/>
              <w:bottom w:val="single" w:sz="4" w:space="0" w:color="auto"/>
              <w:right w:val="single" w:sz="4" w:space="0" w:color="auto"/>
            </w:tcBorders>
            <w:shd w:val="clear" w:color="auto" w:fill="auto"/>
            <w:noWrap/>
            <w:vAlign w:val="bottom"/>
            <w:hideMark/>
          </w:tcPr>
          <w:p w14:paraId="2E8D489C" w14:textId="77777777" w:rsidR="00C9417B" w:rsidRPr="00F95A8E" w:rsidRDefault="00C9417B" w:rsidP="00C9417B">
            <w:pPr>
              <w:rPr>
                <w:rFonts w:asciiTheme="majorHAnsi" w:eastAsia="Times New Roman" w:hAnsiTheme="majorHAnsi" w:cs="Times New Roman"/>
                <w:color w:val="000000"/>
                <w:sz w:val="22"/>
                <w:szCs w:val="22"/>
                <w:lang w:val="fr-BE" w:eastAsia="fr-BE"/>
              </w:rPr>
            </w:pPr>
            <w:r w:rsidRPr="00F95A8E">
              <w:rPr>
                <w:rFonts w:asciiTheme="majorHAnsi" w:eastAsia="Times New Roman" w:hAnsiTheme="majorHAnsi" w:cs="Times New Roman"/>
                <w:color w:val="000000"/>
                <w:sz w:val="22"/>
                <w:szCs w:val="22"/>
                <w:lang w:val="fr-BE" w:eastAsia="fr-BE"/>
              </w:rPr>
              <w:t xml:space="preserve"> With others </w:t>
            </w:r>
          </w:p>
        </w:tc>
        <w:tc>
          <w:tcPr>
            <w:tcW w:w="680" w:type="dxa"/>
            <w:tcBorders>
              <w:top w:val="nil"/>
              <w:left w:val="nil"/>
              <w:bottom w:val="single" w:sz="4" w:space="0" w:color="auto"/>
              <w:right w:val="single" w:sz="4" w:space="0" w:color="auto"/>
            </w:tcBorders>
            <w:shd w:val="clear" w:color="000000" w:fill="FFFFFF"/>
            <w:noWrap/>
            <w:vAlign w:val="bottom"/>
            <w:hideMark/>
          </w:tcPr>
          <w:p w14:paraId="7D274D4E"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5448</w:t>
            </w:r>
          </w:p>
        </w:tc>
        <w:tc>
          <w:tcPr>
            <w:tcW w:w="680" w:type="dxa"/>
            <w:tcBorders>
              <w:top w:val="nil"/>
              <w:left w:val="nil"/>
              <w:bottom w:val="single" w:sz="4" w:space="0" w:color="auto"/>
              <w:right w:val="single" w:sz="4" w:space="0" w:color="auto"/>
            </w:tcBorders>
            <w:shd w:val="clear" w:color="000000" w:fill="FFFFFF"/>
            <w:noWrap/>
            <w:vAlign w:val="bottom"/>
            <w:hideMark/>
          </w:tcPr>
          <w:p w14:paraId="67CD91DC"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7781</w:t>
            </w:r>
          </w:p>
        </w:tc>
        <w:tc>
          <w:tcPr>
            <w:tcW w:w="681" w:type="dxa"/>
            <w:tcBorders>
              <w:top w:val="nil"/>
              <w:left w:val="nil"/>
              <w:bottom w:val="single" w:sz="4" w:space="0" w:color="auto"/>
              <w:right w:val="single" w:sz="4" w:space="0" w:color="auto"/>
            </w:tcBorders>
            <w:shd w:val="clear" w:color="000000" w:fill="FFFFFF"/>
            <w:noWrap/>
            <w:vAlign w:val="bottom"/>
            <w:hideMark/>
          </w:tcPr>
          <w:p w14:paraId="54618DBF"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5426</w:t>
            </w:r>
          </w:p>
        </w:tc>
        <w:tc>
          <w:tcPr>
            <w:tcW w:w="680" w:type="dxa"/>
            <w:tcBorders>
              <w:top w:val="nil"/>
              <w:left w:val="nil"/>
              <w:bottom w:val="single" w:sz="4" w:space="0" w:color="auto"/>
              <w:right w:val="single" w:sz="4" w:space="0" w:color="auto"/>
            </w:tcBorders>
            <w:shd w:val="clear" w:color="000000" w:fill="FFFFFF"/>
            <w:noWrap/>
            <w:vAlign w:val="bottom"/>
            <w:hideMark/>
          </w:tcPr>
          <w:p w14:paraId="3D87B6A6" w14:textId="248B3389"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70,0</w:t>
            </w:r>
          </w:p>
        </w:tc>
        <w:tc>
          <w:tcPr>
            <w:tcW w:w="681" w:type="dxa"/>
            <w:tcBorders>
              <w:top w:val="nil"/>
              <w:left w:val="nil"/>
              <w:bottom w:val="single" w:sz="4" w:space="0" w:color="auto"/>
              <w:right w:val="single" w:sz="4" w:space="0" w:color="auto"/>
            </w:tcBorders>
            <w:shd w:val="clear" w:color="000000" w:fill="FFFFFF"/>
            <w:noWrap/>
            <w:vAlign w:val="bottom"/>
            <w:hideMark/>
          </w:tcPr>
          <w:p w14:paraId="1A76C51D" w14:textId="76DC6F63"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100,4</w:t>
            </w:r>
          </w:p>
        </w:tc>
        <w:tc>
          <w:tcPr>
            <w:tcW w:w="142" w:type="dxa"/>
            <w:tcBorders>
              <w:top w:val="nil"/>
              <w:left w:val="nil"/>
              <w:bottom w:val="single" w:sz="4" w:space="0" w:color="auto"/>
              <w:right w:val="single" w:sz="4" w:space="0" w:color="auto"/>
            </w:tcBorders>
            <w:shd w:val="clear" w:color="000000" w:fill="FFFFFF"/>
            <w:noWrap/>
            <w:vAlign w:val="bottom"/>
            <w:hideMark/>
          </w:tcPr>
          <w:p w14:paraId="5974B5F6" w14:textId="77777777" w:rsidR="00C9417B" w:rsidRPr="005367E0" w:rsidRDefault="00C9417B" w:rsidP="00C9417B">
            <w:pPr>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 </w:t>
            </w:r>
          </w:p>
        </w:tc>
        <w:tc>
          <w:tcPr>
            <w:tcW w:w="714" w:type="dxa"/>
            <w:tcBorders>
              <w:top w:val="nil"/>
              <w:left w:val="nil"/>
              <w:bottom w:val="single" w:sz="4" w:space="0" w:color="auto"/>
              <w:right w:val="single" w:sz="4" w:space="0" w:color="auto"/>
            </w:tcBorders>
            <w:shd w:val="clear" w:color="000000" w:fill="FFFFFF"/>
            <w:noWrap/>
            <w:vAlign w:val="bottom"/>
            <w:hideMark/>
          </w:tcPr>
          <w:p w14:paraId="6D7582B2"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7803</w:t>
            </w:r>
          </w:p>
        </w:tc>
        <w:tc>
          <w:tcPr>
            <w:tcW w:w="714" w:type="dxa"/>
            <w:tcBorders>
              <w:top w:val="nil"/>
              <w:left w:val="nil"/>
              <w:bottom w:val="single" w:sz="4" w:space="0" w:color="auto"/>
              <w:right w:val="single" w:sz="4" w:space="0" w:color="auto"/>
            </w:tcBorders>
            <w:shd w:val="clear" w:color="000000" w:fill="FFFFFF"/>
            <w:noWrap/>
            <w:vAlign w:val="bottom"/>
            <w:hideMark/>
          </w:tcPr>
          <w:p w14:paraId="5023C8D2"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11663</w:t>
            </w:r>
          </w:p>
        </w:tc>
        <w:tc>
          <w:tcPr>
            <w:tcW w:w="715" w:type="dxa"/>
            <w:tcBorders>
              <w:top w:val="nil"/>
              <w:left w:val="nil"/>
              <w:bottom w:val="single" w:sz="4" w:space="0" w:color="auto"/>
              <w:right w:val="single" w:sz="4" w:space="0" w:color="auto"/>
            </w:tcBorders>
            <w:shd w:val="clear" w:color="000000" w:fill="FFFFFF"/>
            <w:noWrap/>
            <w:vAlign w:val="bottom"/>
            <w:hideMark/>
          </w:tcPr>
          <w:p w14:paraId="07DBF855"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7838</w:t>
            </w:r>
          </w:p>
        </w:tc>
        <w:tc>
          <w:tcPr>
            <w:tcW w:w="714" w:type="dxa"/>
            <w:tcBorders>
              <w:top w:val="nil"/>
              <w:left w:val="nil"/>
              <w:bottom w:val="single" w:sz="4" w:space="0" w:color="auto"/>
              <w:right w:val="single" w:sz="4" w:space="0" w:color="auto"/>
            </w:tcBorders>
            <w:shd w:val="clear" w:color="000000" w:fill="FFFFFF"/>
            <w:noWrap/>
            <w:vAlign w:val="bottom"/>
            <w:hideMark/>
          </w:tcPr>
          <w:p w14:paraId="1CD298C4" w14:textId="7B505CA4"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66,9</w:t>
            </w:r>
          </w:p>
        </w:tc>
        <w:tc>
          <w:tcPr>
            <w:tcW w:w="715" w:type="dxa"/>
            <w:tcBorders>
              <w:top w:val="nil"/>
              <w:left w:val="nil"/>
              <w:bottom w:val="single" w:sz="4" w:space="0" w:color="auto"/>
              <w:right w:val="single" w:sz="4" w:space="0" w:color="auto"/>
            </w:tcBorders>
            <w:shd w:val="clear" w:color="000000" w:fill="FFFFFF"/>
            <w:noWrap/>
            <w:vAlign w:val="bottom"/>
            <w:hideMark/>
          </w:tcPr>
          <w:p w14:paraId="563B6068" w14:textId="54FEF3CA"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99,6</w:t>
            </w:r>
          </w:p>
        </w:tc>
      </w:tr>
      <w:tr w:rsidR="005367E0" w:rsidRPr="005367E0" w14:paraId="66F35D97" w14:textId="77777777" w:rsidTr="00F95A8E">
        <w:trPr>
          <w:trHeight w:val="300"/>
        </w:trPr>
        <w:tc>
          <w:tcPr>
            <w:tcW w:w="1956" w:type="dxa"/>
            <w:tcBorders>
              <w:top w:val="nil"/>
              <w:left w:val="single" w:sz="4" w:space="0" w:color="auto"/>
              <w:bottom w:val="single" w:sz="4" w:space="0" w:color="auto"/>
              <w:right w:val="single" w:sz="4" w:space="0" w:color="auto"/>
            </w:tcBorders>
            <w:shd w:val="clear" w:color="auto" w:fill="auto"/>
            <w:noWrap/>
            <w:vAlign w:val="bottom"/>
            <w:hideMark/>
          </w:tcPr>
          <w:p w14:paraId="5A1A99C8" w14:textId="02FEB817" w:rsidR="00C9417B" w:rsidRPr="00F95A8E" w:rsidRDefault="00F95A8E" w:rsidP="00F95A8E">
            <w:pPr>
              <w:rPr>
                <w:rFonts w:asciiTheme="majorHAnsi" w:eastAsia="Times New Roman" w:hAnsiTheme="majorHAnsi" w:cs="Times New Roman"/>
                <w:color w:val="000000"/>
                <w:sz w:val="22"/>
                <w:szCs w:val="22"/>
                <w:lang w:val="fr-BE" w:eastAsia="fr-BE"/>
              </w:rPr>
            </w:pPr>
            <w:r w:rsidRPr="00F95A8E">
              <w:rPr>
                <w:rFonts w:asciiTheme="majorHAnsi" w:eastAsia="Times New Roman" w:hAnsiTheme="majorHAnsi" w:cs="Times New Roman"/>
                <w:color w:val="000000"/>
                <w:sz w:val="22"/>
                <w:szCs w:val="22"/>
                <w:lang w:val="fr-BE" w:eastAsia="fr-BE"/>
              </w:rPr>
              <w:t>In c</w:t>
            </w:r>
            <w:r w:rsidR="00C9417B" w:rsidRPr="00F95A8E">
              <w:rPr>
                <w:rFonts w:asciiTheme="majorHAnsi" w:eastAsia="Times New Roman" w:hAnsiTheme="majorHAnsi" w:cs="Times New Roman"/>
                <w:color w:val="000000"/>
                <w:sz w:val="22"/>
                <w:szCs w:val="22"/>
                <w:lang w:val="fr-BE" w:eastAsia="fr-BE"/>
              </w:rPr>
              <w:t xml:space="preserve">ollective single </w:t>
            </w:r>
          </w:p>
        </w:tc>
        <w:tc>
          <w:tcPr>
            <w:tcW w:w="680" w:type="dxa"/>
            <w:tcBorders>
              <w:top w:val="nil"/>
              <w:left w:val="nil"/>
              <w:bottom w:val="single" w:sz="4" w:space="0" w:color="auto"/>
              <w:right w:val="single" w:sz="4" w:space="0" w:color="auto"/>
            </w:tcBorders>
            <w:shd w:val="clear" w:color="000000" w:fill="FFFFFF"/>
            <w:noWrap/>
            <w:vAlign w:val="bottom"/>
            <w:hideMark/>
          </w:tcPr>
          <w:p w14:paraId="498A7BCD"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1341</w:t>
            </w:r>
          </w:p>
        </w:tc>
        <w:tc>
          <w:tcPr>
            <w:tcW w:w="680" w:type="dxa"/>
            <w:tcBorders>
              <w:top w:val="nil"/>
              <w:left w:val="nil"/>
              <w:bottom w:val="single" w:sz="4" w:space="0" w:color="auto"/>
              <w:right w:val="single" w:sz="4" w:space="0" w:color="auto"/>
            </w:tcBorders>
            <w:shd w:val="clear" w:color="000000" w:fill="FFFFFF"/>
            <w:noWrap/>
            <w:vAlign w:val="bottom"/>
            <w:hideMark/>
          </w:tcPr>
          <w:p w14:paraId="60BC41C2"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1245</w:t>
            </w:r>
          </w:p>
        </w:tc>
        <w:tc>
          <w:tcPr>
            <w:tcW w:w="681" w:type="dxa"/>
            <w:tcBorders>
              <w:top w:val="nil"/>
              <w:left w:val="nil"/>
              <w:bottom w:val="single" w:sz="4" w:space="0" w:color="auto"/>
              <w:right w:val="single" w:sz="4" w:space="0" w:color="auto"/>
            </w:tcBorders>
            <w:shd w:val="clear" w:color="000000" w:fill="FFFFFF"/>
            <w:noWrap/>
            <w:vAlign w:val="bottom"/>
            <w:hideMark/>
          </w:tcPr>
          <w:p w14:paraId="3133AAF6"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914</w:t>
            </w:r>
          </w:p>
        </w:tc>
        <w:tc>
          <w:tcPr>
            <w:tcW w:w="680" w:type="dxa"/>
            <w:tcBorders>
              <w:top w:val="nil"/>
              <w:left w:val="nil"/>
              <w:bottom w:val="single" w:sz="4" w:space="0" w:color="auto"/>
              <w:right w:val="single" w:sz="4" w:space="0" w:color="auto"/>
            </w:tcBorders>
            <w:shd w:val="clear" w:color="000000" w:fill="FFFFFF"/>
            <w:noWrap/>
            <w:vAlign w:val="bottom"/>
            <w:hideMark/>
          </w:tcPr>
          <w:p w14:paraId="26326008" w14:textId="0B44D3C8"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107,7</w:t>
            </w:r>
          </w:p>
        </w:tc>
        <w:tc>
          <w:tcPr>
            <w:tcW w:w="681" w:type="dxa"/>
            <w:tcBorders>
              <w:top w:val="nil"/>
              <w:left w:val="nil"/>
              <w:bottom w:val="single" w:sz="4" w:space="0" w:color="auto"/>
              <w:right w:val="single" w:sz="4" w:space="0" w:color="auto"/>
            </w:tcBorders>
            <w:shd w:val="clear" w:color="000000" w:fill="FFFFFF"/>
            <w:noWrap/>
            <w:vAlign w:val="bottom"/>
            <w:hideMark/>
          </w:tcPr>
          <w:p w14:paraId="759AE360" w14:textId="01AA2EF1"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146,7</w:t>
            </w:r>
          </w:p>
        </w:tc>
        <w:tc>
          <w:tcPr>
            <w:tcW w:w="142" w:type="dxa"/>
            <w:tcBorders>
              <w:top w:val="nil"/>
              <w:left w:val="nil"/>
              <w:bottom w:val="single" w:sz="4" w:space="0" w:color="auto"/>
              <w:right w:val="single" w:sz="4" w:space="0" w:color="auto"/>
            </w:tcBorders>
            <w:shd w:val="clear" w:color="000000" w:fill="FFFFFF"/>
            <w:noWrap/>
            <w:vAlign w:val="bottom"/>
            <w:hideMark/>
          </w:tcPr>
          <w:p w14:paraId="5211DD39" w14:textId="77777777" w:rsidR="00C9417B" w:rsidRPr="005367E0" w:rsidRDefault="00C9417B" w:rsidP="00C9417B">
            <w:pPr>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 </w:t>
            </w:r>
          </w:p>
        </w:tc>
        <w:tc>
          <w:tcPr>
            <w:tcW w:w="714" w:type="dxa"/>
            <w:tcBorders>
              <w:top w:val="nil"/>
              <w:left w:val="nil"/>
              <w:bottom w:val="single" w:sz="4" w:space="0" w:color="auto"/>
              <w:right w:val="single" w:sz="4" w:space="0" w:color="auto"/>
            </w:tcBorders>
            <w:shd w:val="clear" w:color="000000" w:fill="FFFFFF"/>
            <w:noWrap/>
            <w:vAlign w:val="bottom"/>
            <w:hideMark/>
          </w:tcPr>
          <w:p w14:paraId="1260BD95"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829</w:t>
            </w:r>
          </w:p>
        </w:tc>
        <w:tc>
          <w:tcPr>
            <w:tcW w:w="714" w:type="dxa"/>
            <w:tcBorders>
              <w:top w:val="nil"/>
              <w:left w:val="nil"/>
              <w:bottom w:val="single" w:sz="4" w:space="0" w:color="auto"/>
              <w:right w:val="single" w:sz="4" w:space="0" w:color="auto"/>
            </w:tcBorders>
            <w:shd w:val="clear" w:color="000000" w:fill="FFFFFF"/>
            <w:noWrap/>
            <w:vAlign w:val="bottom"/>
            <w:hideMark/>
          </w:tcPr>
          <w:p w14:paraId="2455C9DC"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643</w:t>
            </w:r>
          </w:p>
        </w:tc>
        <w:tc>
          <w:tcPr>
            <w:tcW w:w="715" w:type="dxa"/>
            <w:tcBorders>
              <w:top w:val="nil"/>
              <w:left w:val="nil"/>
              <w:bottom w:val="single" w:sz="4" w:space="0" w:color="auto"/>
              <w:right w:val="single" w:sz="4" w:space="0" w:color="auto"/>
            </w:tcBorders>
            <w:shd w:val="clear" w:color="000000" w:fill="FFFFFF"/>
            <w:noWrap/>
            <w:vAlign w:val="bottom"/>
            <w:hideMark/>
          </w:tcPr>
          <w:p w14:paraId="0A2DB067"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593</w:t>
            </w:r>
          </w:p>
        </w:tc>
        <w:tc>
          <w:tcPr>
            <w:tcW w:w="714" w:type="dxa"/>
            <w:tcBorders>
              <w:top w:val="nil"/>
              <w:left w:val="nil"/>
              <w:bottom w:val="single" w:sz="4" w:space="0" w:color="auto"/>
              <w:right w:val="single" w:sz="4" w:space="0" w:color="auto"/>
            </w:tcBorders>
            <w:shd w:val="clear" w:color="000000" w:fill="FFFFFF"/>
            <w:noWrap/>
            <w:vAlign w:val="bottom"/>
            <w:hideMark/>
          </w:tcPr>
          <w:p w14:paraId="15D50ABB" w14:textId="53DB8218"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128,9</w:t>
            </w:r>
          </w:p>
        </w:tc>
        <w:tc>
          <w:tcPr>
            <w:tcW w:w="715" w:type="dxa"/>
            <w:tcBorders>
              <w:top w:val="nil"/>
              <w:left w:val="nil"/>
              <w:bottom w:val="single" w:sz="4" w:space="0" w:color="auto"/>
              <w:right w:val="single" w:sz="4" w:space="0" w:color="auto"/>
            </w:tcBorders>
            <w:shd w:val="clear" w:color="000000" w:fill="FFFFFF"/>
            <w:noWrap/>
            <w:vAlign w:val="bottom"/>
            <w:hideMark/>
          </w:tcPr>
          <w:p w14:paraId="29095AF6" w14:textId="19324E25" w:rsidR="005367E0"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139,9</w:t>
            </w:r>
          </w:p>
        </w:tc>
      </w:tr>
      <w:tr w:rsidR="005367E0" w:rsidRPr="005367E0" w14:paraId="71F8CF6B" w14:textId="77777777" w:rsidTr="00F95A8E">
        <w:trPr>
          <w:trHeight w:val="300"/>
        </w:trPr>
        <w:tc>
          <w:tcPr>
            <w:tcW w:w="1956" w:type="dxa"/>
            <w:tcBorders>
              <w:top w:val="nil"/>
              <w:left w:val="single" w:sz="4" w:space="0" w:color="auto"/>
              <w:bottom w:val="single" w:sz="4" w:space="0" w:color="auto"/>
              <w:right w:val="single" w:sz="4" w:space="0" w:color="auto"/>
            </w:tcBorders>
            <w:shd w:val="clear" w:color="auto" w:fill="auto"/>
            <w:noWrap/>
            <w:vAlign w:val="bottom"/>
            <w:hideMark/>
          </w:tcPr>
          <w:p w14:paraId="215A5BF9" w14:textId="6F0A8E37" w:rsidR="00C9417B" w:rsidRPr="00F95A8E" w:rsidRDefault="00F95A8E" w:rsidP="00F95A8E">
            <w:pPr>
              <w:rPr>
                <w:rFonts w:asciiTheme="majorHAnsi" w:eastAsia="Times New Roman" w:hAnsiTheme="majorHAnsi" w:cs="Times New Roman"/>
                <w:color w:val="000000"/>
                <w:sz w:val="22"/>
                <w:szCs w:val="22"/>
                <w:lang w:val="fr-BE" w:eastAsia="fr-BE"/>
              </w:rPr>
            </w:pPr>
            <w:r w:rsidRPr="00F95A8E">
              <w:rPr>
                <w:rFonts w:asciiTheme="majorHAnsi" w:eastAsia="Times New Roman" w:hAnsiTheme="majorHAnsi" w:cs="Times New Roman"/>
                <w:color w:val="000000"/>
                <w:sz w:val="22"/>
                <w:szCs w:val="22"/>
                <w:lang w:val="fr-BE" w:eastAsia="fr-BE"/>
              </w:rPr>
              <w:t>In c</w:t>
            </w:r>
            <w:r w:rsidR="00C9417B" w:rsidRPr="00F95A8E">
              <w:rPr>
                <w:rFonts w:asciiTheme="majorHAnsi" w:eastAsia="Times New Roman" w:hAnsiTheme="majorHAnsi" w:cs="Times New Roman"/>
                <w:color w:val="000000"/>
                <w:sz w:val="22"/>
                <w:szCs w:val="22"/>
                <w:lang w:val="fr-BE" w:eastAsia="fr-BE"/>
              </w:rPr>
              <w:t xml:space="preserve">ollective married </w:t>
            </w:r>
          </w:p>
        </w:tc>
        <w:tc>
          <w:tcPr>
            <w:tcW w:w="680" w:type="dxa"/>
            <w:tcBorders>
              <w:top w:val="nil"/>
              <w:left w:val="nil"/>
              <w:bottom w:val="single" w:sz="4" w:space="0" w:color="auto"/>
              <w:right w:val="single" w:sz="4" w:space="0" w:color="auto"/>
            </w:tcBorders>
            <w:shd w:val="clear" w:color="000000" w:fill="FFFFFF"/>
            <w:noWrap/>
            <w:vAlign w:val="bottom"/>
            <w:hideMark/>
          </w:tcPr>
          <w:p w14:paraId="22872B70"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922</w:t>
            </w:r>
          </w:p>
        </w:tc>
        <w:tc>
          <w:tcPr>
            <w:tcW w:w="680" w:type="dxa"/>
            <w:tcBorders>
              <w:top w:val="nil"/>
              <w:left w:val="nil"/>
              <w:bottom w:val="single" w:sz="4" w:space="0" w:color="auto"/>
              <w:right w:val="single" w:sz="4" w:space="0" w:color="auto"/>
            </w:tcBorders>
            <w:shd w:val="clear" w:color="000000" w:fill="FFFFFF"/>
            <w:noWrap/>
            <w:vAlign w:val="bottom"/>
            <w:hideMark/>
          </w:tcPr>
          <w:p w14:paraId="369A2235"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1172</w:t>
            </w:r>
          </w:p>
        </w:tc>
        <w:tc>
          <w:tcPr>
            <w:tcW w:w="681" w:type="dxa"/>
            <w:tcBorders>
              <w:top w:val="nil"/>
              <w:left w:val="nil"/>
              <w:bottom w:val="single" w:sz="4" w:space="0" w:color="auto"/>
              <w:right w:val="single" w:sz="4" w:space="0" w:color="auto"/>
            </w:tcBorders>
            <w:shd w:val="clear" w:color="000000" w:fill="FFFFFF"/>
            <w:noWrap/>
            <w:vAlign w:val="bottom"/>
            <w:hideMark/>
          </w:tcPr>
          <w:p w14:paraId="521F1FC6"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664</w:t>
            </w:r>
          </w:p>
        </w:tc>
        <w:tc>
          <w:tcPr>
            <w:tcW w:w="680" w:type="dxa"/>
            <w:tcBorders>
              <w:top w:val="nil"/>
              <w:left w:val="nil"/>
              <w:bottom w:val="single" w:sz="4" w:space="0" w:color="auto"/>
              <w:right w:val="single" w:sz="4" w:space="0" w:color="auto"/>
            </w:tcBorders>
            <w:shd w:val="clear" w:color="000000" w:fill="FFFFFF"/>
            <w:noWrap/>
            <w:vAlign w:val="bottom"/>
            <w:hideMark/>
          </w:tcPr>
          <w:p w14:paraId="0F12C493" w14:textId="6A7D5E4B"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78,6</w:t>
            </w:r>
          </w:p>
        </w:tc>
        <w:tc>
          <w:tcPr>
            <w:tcW w:w="681" w:type="dxa"/>
            <w:tcBorders>
              <w:top w:val="nil"/>
              <w:left w:val="nil"/>
              <w:bottom w:val="single" w:sz="4" w:space="0" w:color="auto"/>
              <w:right w:val="single" w:sz="4" w:space="0" w:color="auto"/>
            </w:tcBorders>
            <w:shd w:val="clear" w:color="000000" w:fill="FFFFFF"/>
            <w:noWrap/>
            <w:vAlign w:val="bottom"/>
            <w:hideMark/>
          </w:tcPr>
          <w:p w14:paraId="5E0C067B" w14:textId="78D77E55"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138,7</w:t>
            </w:r>
          </w:p>
        </w:tc>
        <w:tc>
          <w:tcPr>
            <w:tcW w:w="142" w:type="dxa"/>
            <w:tcBorders>
              <w:top w:val="nil"/>
              <w:left w:val="nil"/>
              <w:bottom w:val="single" w:sz="4" w:space="0" w:color="auto"/>
              <w:right w:val="single" w:sz="4" w:space="0" w:color="auto"/>
            </w:tcBorders>
            <w:shd w:val="clear" w:color="000000" w:fill="FFFFFF"/>
            <w:noWrap/>
            <w:vAlign w:val="bottom"/>
            <w:hideMark/>
          </w:tcPr>
          <w:p w14:paraId="0E6176AD" w14:textId="77777777" w:rsidR="00C9417B" w:rsidRPr="005367E0" w:rsidRDefault="00C9417B" w:rsidP="00C9417B">
            <w:pPr>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 </w:t>
            </w:r>
          </w:p>
        </w:tc>
        <w:tc>
          <w:tcPr>
            <w:tcW w:w="714" w:type="dxa"/>
            <w:tcBorders>
              <w:top w:val="nil"/>
              <w:left w:val="nil"/>
              <w:bottom w:val="single" w:sz="4" w:space="0" w:color="auto"/>
              <w:right w:val="single" w:sz="4" w:space="0" w:color="auto"/>
            </w:tcBorders>
            <w:shd w:val="clear" w:color="000000" w:fill="FFFFFF"/>
            <w:noWrap/>
            <w:vAlign w:val="bottom"/>
            <w:hideMark/>
          </w:tcPr>
          <w:p w14:paraId="4C128418"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1486</w:t>
            </w:r>
          </w:p>
        </w:tc>
        <w:tc>
          <w:tcPr>
            <w:tcW w:w="714" w:type="dxa"/>
            <w:tcBorders>
              <w:top w:val="nil"/>
              <w:left w:val="nil"/>
              <w:bottom w:val="single" w:sz="4" w:space="0" w:color="auto"/>
              <w:right w:val="single" w:sz="4" w:space="0" w:color="auto"/>
            </w:tcBorders>
            <w:shd w:val="clear" w:color="000000" w:fill="FFFFFF"/>
            <w:noWrap/>
            <w:vAlign w:val="bottom"/>
            <w:hideMark/>
          </w:tcPr>
          <w:p w14:paraId="7D625DDD"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2308</w:t>
            </w:r>
          </w:p>
        </w:tc>
        <w:tc>
          <w:tcPr>
            <w:tcW w:w="715" w:type="dxa"/>
            <w:tcBorders>
              <w:top w:val="nil"/>
              <w:left w:val="nil"/>
              <w:bottom w:val="single" w:sz="4" w:space="0" w:color="auto"/>
              <w:right w:val="single" w:sz="4" w:space="0" w:color="auto"/>
            </w:tcBorders>
            <w:shd w:val="clear" w:color="000000" w:fill="FFFFFF"/>
            <w:noWrap/>
            <w:vAlign w:val="bottom"/>
            <w:hideMark/>
          </w:tcPr>
          <w:p w14:paraId="41B7DCA0"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1210</w:t>
            </w:r>
          </w:p>
        </w:tc>
        <w:tc>
          <w:tcPr>
            <w:tcW w:w="714" w:type="dxa"/>
            <w:tcBorders>
              <w:top w:val="nil"/>
              <w:left w:val="nil"/>
              <w:bottom w:val="single" w:sz="4" w:space="0" w:color="auto"/>
              <w:right w:val="single" w:sz="4" w:space="0" w:color="auto"/>
            </w:tcBorders>
            <w:shd w:val="clear" w:color="000000" w:fill="FFFFFF"/>
            <w:noWrap/>
            <w:vAlign w:val="bottom"/>
            <w:hideMark/>
          </w:tcPr>
          <w:p w14:paraId="4597AAFC" w14:textId="39ECA780"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64,4</w:t>
            </w:r>
          </w:p>
        </w:tc>
        <w:tc>
          <w:tcPr>
            <w:tcW w:w="715" w:type="dxa"/>
            <w:tcBorders>
              <w:top w:val="nil"/>
              <w:left w:val="nil"/>
              <w:bottom w:val="single" w:sz="4" w:space="0" w:color="auto"/>
              <w:right w:val="single" w:sz="4" w:space="0" w:color="auto"/>
            </w:tcBorders>
            <w:shd w:val="clear" w:color="000000" w:fill="FFFFFF"/>
            <w:noWrap/>
            <w:vAlign w:val="bottom"/>
            <w:hideMark/>
          </w:tcPr>
          <w:p w14:paraId="66875C9D" w14:textId="46E2ACF8"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122,8</w:t>
            </w:r>
          </w:p>
        </w:tc>
      </w:tr>
      <w:tr w:rsidR="005367E0" w:rsidRPr="005367E0" w14:paraId="1C4FBF47" w14:textId="77777777" w:rsidTr="00F95A8E">
        <w:trPr>
          <w:trHeight w:val="300"/>
        </w:trPr>
        <w:tc>
          <w:tcPr>
            <w:tcW w:w="1956" w:type="dxa"/>
            <w:tcBorders>
              <w:top w:val="nil"/>
              <w:left w:val="single" w:sz="4" w:space="0" w:color="auto"/>
              <w:bottom w:val="single" w:sz="4" w:space="0" w:color="auto"/>
              <w:right w:val="single" w:sz="4" w:space="0" w:color="auto"/>
            </w:tcBorders>
            <w:shd w:val="clear" w:color="auto" w:fill="auto"/>
            <w:noWrap/>
            <w:vAlign w:val="bottom"/>
            <w:hideMark/>
          </w:tcPr>
          <w:p w14:paraId="713A3AA6" w14:textId="00E8F13F" w:rsidR="00C9417B" w:rsidRPr="00F95A8E" w:rsidRDefault="00F95A8E" w:rsidP="00F95A8E">
            <w:pPr>
              <w:rPr>
                <w:rFonts w:asciiTheme="majorHAnsi" w:eastAsia="Times New Roman" w:hAnsiTheme="majorHAnsi" w:cs="Times New Roman"/>
                <w:color w:val="000000"/>
                <w:sz w:val="22"/>
                <w:szCs w:val="22"/>
                <w:lang w:val="fr-BE" w:eastAsia="fr-BE"/>
              </w:rPr>
            </w:pPr>
            <w:r w:rsidRPr="00F95A8E">
              <w:rPr>
                <w:rFonts w:asciiTheme="majorHAnsi" w:eastAsia="Times New Roman" w:hAnsiTheme="majorHAnsi" w:cs="Times New Roman"/>
                <w:color w:val="000000"/>
                <w:sz w:val="22"/>
                <w:szCs w:val="22"/>
                <w:lang w:val="fr-BE" w:eastAsia="fr-BE"/>
              </w:rPr>
              <w:t>In c</w:t>
            </w:r>
            <w:r w:rsidR="00C9417B" w:rsidRPr="00F95A8E">
              <w:rPr>
                <w:rFonts w:asciiTheme="majorHAnsi" w:eastAsia="Times New Roman" w:hAnsiTheme="majorHAnsi" w:cs="Times New Roman"/>
                <w:color w:val="000000"/>
                <w:sz w:val="22"/>
                <w:szCs w:val="22"/>
                <w:lang w:val="fr-BE" w:eastAsia="fr-BE"/>
              </w:rPr>
              <w:t xml:space="preserve">ollective widowed </w:t>
            </w:r>
          </w:p>
        </w:tc>
        <w:tc>
          <w:tcPr>
            <w:tcW w:w="680" w:type="dxa"/>
            <w:tcBorders>
              <w:top w:val="nil"/>
              <w:left w:val="nil"/>
              <w:bottom w:val="single" w:sz="4" w:space="0" w:color="auto"/>
              <w:right w:val="single" w:sz="4" w:space="0" w:color="auto"/>
            </w:tcBorders>
            <w:shd w:val="clear" w:color="000000" w:fill="FFFFFF"/>
            <w:noWrap/>
            <w:vAlign w:val="bottom"/>
            <w:hideMark/>
          </w:tcPr>
          <w:p w14:paraId="61E8D908"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2522</w:t>
            </w:r>
          </w:p>
        </w:tc>
        <w:tc>
          <w:tcPr>
            <w:tcW w:w="680" w:type="dxa"/>
            <w:tcBorders>
              <w:top w:val="nil"/>
              <w:left w:val="nil"/>
              <w:bottom w:val="single" w:sz="4" w:space="0" w:color="auto"/>
              <w:right w:val="single" w:sz="4" w:space="0" w:color="auto"/>
            </w:tcBorders>
            <w:shd w:val="clear" w:color="000000" w:fill="FFFFFF"/>
            <w:noWrap/>
            <w:vAlign w:val="bottom"/>
            <w:hideMark/>
          </w:tcPr>
          <w:p w14:paraId="3CDAE2F2"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3479</w:t>
            </w:r>
          </w:p>
        </w:tc>
        <w:tc>
          <w:tcPr>
            <w:tcW w:w="681" w:type="dxa"/>
            <w:tcBorders>
              <w:top w:val="nil"/>
              <w:left w:val="nil"/>
              <w:bottom w:val="single" w:sz="4" w:space="0" w:color="auto"/>
              <w:right w:val="single" w:sz="4" w:space="0" w:color="auto"/>
            </w:tcBorders>
            <w:shd w:val="clear" w:color="000000" w:fill="FFFFFF"/>
            <w:noWrap/>
            <w:vAlign w:val="bottom"/>
            <w:hideMark/>
          </w:tcPr>
          <w:p w14:paraId="34412BFE"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2014</w:t>
            </w:r>
          </w:p>
        </w:tc>
        <w:tc>
          <w:tcPr>
            <w:tcW w:w="680" w:type="dxa"/>
            <w:tcBorders>
              <w:top w:val="nil"/>
              <w:left w:val="nil"/>
              <w:bottom w:val="single" w:sz="4" w:space="0" w:color="auto"/>
              <w:right w:val="single" w:sz="4" w:space="0" w:color="auto"/>
            </w:tcBorders>
            <w:shd w:val="clear" w:color="000000" w:fill="FFFFFF"/>
            <w:noWrap/>
            <w:vAlign w:val="bottom"/>
            <w:hideMark/>
          </w:tcPr>
          <w:p w14:paraId="43416D17" w14:textId="66975DC0"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72,5</w:t>
            </w:r>
          </w:p>
        </w:tc>
        <w:tc>
          <w:tcPr>
            <w:tcW w:w="681" w:type="dxa"/>
            <w:tcBorders>
              <w:top w:val="nil"/>
              <w:left w:val="nil"/>
              <w:bottom w:val="single" w:sz="4" w:space="0" w:color="auto"/>
              <w:right w:val="single" w:sz="4" w:space="0" w:color="auto"/>
            </w:tcBorders>
            <w:shd w:val="clear" w:color="000000" w:fill="FFFFFF"/>
            <w:noWrap/>
            <w:vAlign w:val="bottom"/>
            <w:hideMark/>
          </w:tcPr>
          <w:p w14:paraId="4002DF93" w14:textId="7E167837"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125,2</w:t>
            </w:r>
          </w:p>
        </w:tc>
        <w:tc>
          <w:tcPr>
            <w:tcW w:w="142" w:type="dxa"/>
            <w:tcBorders>
              <w:top w:val="nil"/>
              <w:left w:val="nil"/>
              <w:bottom w:val="single" w:sz="4" w:space="0" w:color="auto"/>
              <w:right w:val="single" w:sz="4" w:space="0" w:color="auto"/>
            </w:tcBorders>
            <w:shd w:val="clear" w:color="000000" w:fill="FFFFFF"/>
            <w:noWrap/>
            <w:vAlign w:val="bottom"/>
            <w:hideMark/>
          </w:tcPr>
          <w:p w14:paraId="4947EA89" w14:textId="77777777" w:rsidR="00C9417B" w:rsidRPr="005367E0" w:rsidRDefault="00C9417B" w:rsidP="00C9417B">
            <w:pPr>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 </w:t>
            </w:r>
          </w:p>
        </w:tc>
        <w:tc>
          <w:tcPr>
            <w:tcW w:w="714" w:type="dxa"/>
            <w:tcBorders>
              <w:top w:val="nil"/>
              <w:left w:val="nil"/>
              <w:bottom w:val="single" w:sz="4" w:space="0" w:color="auto"/>
              <w:right w:val="single" w:sz="4" w:space="0" w:color="auto"/>
            </w:tcBorders>
            <w:shd w:val="clear" w:color="000000" w:fill="FFFFFF"/>
            <w:noWrap/>
            <w:vAlign w:val="bottom"/>
            <w:hideMark/>
          </w:tcPr>
          <w:p w14:paraId="66FD6554"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11362</w:t>
            </w:r>
          </w:p>
        </w:tc>
        <w:tc>
          <w:tcPr>
            <w:tcW w:w="714" w:type="dxa"/>
            <w:tcBorders>
              <w:top w:val="nil"/>
              <w:left w:val="nil"/>
              <w:bottom w:val="single" w:sz="4" w:space="0" w:color="auto"/>
              <w:right w:val="single" w:sz="4" w:space="0" w:color="auto"/>
            </w:tcBorders>
            <w:shd w:val="clear" w:color="000000" w:fill="FFFFFF"/>
            <w:noWrap/>
            <w:vAlign w:val="bottom"/>
            <w:hideMark/>
          </w:tcPr>
          <w:p w14:paraId="2225465F"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11470</w:t>
            </w:r>
          </w:p>
        </w:tc>
        <w:tc>
          <w:tcPr>
            <w:tcW w:w="715" w:type="dxa"/>
            <w:tcBorders>
              <w:top w:val="nil"/>
              <w:left w:val="nil"/>
              <w:bottom w:val="single" w:sz="4" w:space="0" w:color="auto"/>
              <w:right w:val="single" w:sz="4" w:space="0" w:color="auto"/>
            </w:tcBorders>
            <w:shd w:val="clear" w:color="000000" w:fill="FFFFFF"/>
            <w:noWrap/>
            <w:vAlign w:val="bottom"/>
            <w:hideMark/>
          </w:tcPr>
          <w:p w14:paraId="0B0971D9"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9343</w:t>
            </w:r>
          </w:p>
        </w:tc>
        <w:tc>
          <w:tcPr>
            <w:tcW w:w="714" w:type="dxa"/>
            <w:tcBorders>
              <w:top w:val="nil"/>
              <w:left w:val="nil"/>
              <w:bottom w:val="single" w:sz="4" w:space="0" w:color="auto"/>
              <w:right w:val="single" w:sz="4" w:space="0" w:color="auto"/>
            </w:tcBorders>
            <w:shd w:val="clear" w:color="000000" w:fill="FFFFFF"/>
            <w:noWrap/>
            <w:vAlign w:val="bottom"/>
            <w:hideMark/>
          </w:tcPr>
          <w:p w14:paraId="04614251" w14:textId="01128D46"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99,1</w:t>
            </w:r>
          </w:p>
        </w:tc>
        <w:tc>
          <w:tcPr>
            <w:tcW w:w="715" w:type="dxa"/>
            <w:tcBorders>
              <w:top w:val="nil"/>
              <w:left w:val="nil"/>
              <w:bottom w:val="single" w:sz="4" w:space="0" w:color="auto"/>
              <w:right w:val="single" w:sz="4" w:space="0" w:color="auto"/>
            </w:tcBorders>
            <w:shd w:val="clear" w:color="000000" w:fill="FFFFFF"/>
            <w:noWrap/>
            <w:vAlign w:val="bottom"/>
            <w:hideMark/>
          </w:tcPr>
          <w:p w14:paraId="2239BE8C" w14:textId="3FC26E7A"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121,6</w:t>
            </w:r>
          </w:p>
        </w:tc>
      </w:tr>
      <w:tr w:rsidR="005367E0" w:rsidRPr="005367E0" w14:paraId="12BE4558" w14:textId="77777777" w:rsidTr="00F95A8E">
        <w:trPr>
          <w:trHeight w:val="300"/>
        </w:trPr>
        <w:tc>
          <w:tcPr>
            <w:tcW w:w="1956" w:type="dxa"/>
            <w:tcBorders>
              <w:top w:val="nil"/>
              <w:left w:val="single" w:sz="4" w:space="0" w:color="auto"/>
              <w:bottom w:val="single" w:sz="4" w:space="0" w:color="auto"/>
              <w:right w:val="single" w:sz="4" w:space="0" w:color="auto"/>
            </w:tcBorders>
            <w:shd w:val="clear" w:color="auto" w:fill="auto"/>
            <w:noWrap/>
            <w:vAlign w:val="bottom"/>
            <w:hideMark/>
          </w:tcPr>
          <w:p w14:paraId="3A69C608" w14:textId="075230E2" w:rsidR="00C9417B" w:rsidRPr="00F95A8E" w:rsidRDefault="00F95A8E" w:rsidP="00C9417B">
            <w:pPr>
              <w:rPr>
                <w:rFonts w:asciiTheme="majorHAnsi" w:eastAsia="Times New Roman" w:hAnsiTheme="majorHAnsi" w:cs="Times New Roman"/>
                <w:color w:val="000000"/>
                <w:sz w:val="22"/>
                <w:szCs w:val="22"/>
                <w:lang w:val="fr-BE" w:eastAsia="fr-BE"/>
              </w:rPr>
            </w:pPr>
            <w:r w:rsidRPr="00F95A8E">
              <w:rPr>
                <w:rFonts w:asciiTheme="majorHAnsi" w:eastAsia="Times New Roman" w:hAnsiTheme="majorHAnsi" w:cs="Times New Roman"/>
                <w:color w:val="000000"/>
                <w:sz w:val="22"/>
                <w:szCs w:val="22"/>
                <w:lang w:val="fr-BE" w:eastAsia="fr-BE"/>
              </w:rPr>
              <w:t>In c</w:t>
            </w:r>
            <w:r w:rsidR="00C9417B" w:rsidRPr="00F95A8E">
              <w:rPr>
                <w:rFonts w:asciiTheme="majorHAnsi" w:eastAsia="Times New Roman" w:hAnsiTheme="majorHAnsi" w:cs="Times New Roman"/>
                <w:color w:val="000000"/>
                <w:sz w:val="22"/>
                <w:szCs w:val="22"/>
                <w:lang w:val="fr-BE" w:eastAsia="fr-BE"/>
              </w:rPr>
              <w:t xml:space="preserve">ollective divorced </w:t>
            </w:r>
          </w:p>
        </w:tc>
        <w:tc>
          <w:tcPr>
            <w:tcW w:w="680" w:type="dxa"/>
            <w:tcBorders>
              <w:top w:val="nil"/>
              <w:left w:val="nil"/>
              <w:bottom w:val="single" w:sz="4" w:space="0" w:color="auto"/>
              <w:right w:val="single" w:sz="4" w:space="0" w:color="auto"/>
            </w:tcBorders>
            <w:shd w:val="clear" w:color="000000" w:fill="FFFFFF"/>
            <w:noWrap/>
            <w:vAlign w:val="bottom"/>
            <w:hideMark/>
          </w:tcPr>
          <w:p w14:paraId="06DF0670"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561</w:t>
            </w:r>
          </w:p>
        </w:tc>
        <w:tc>
          <w:tcPr>
            <w:tcW w:w="680" w:type="dxa"/>
            <w:tcBorders>
              <w:top w:val="nil"/>
              <w:left w:val="nil"/>
              <w:bottom w:val="single" w:sz="4" w:space="0" w:color="auto"/>
              <w:right w:val="single" w:sz="4" w:space="0" w:color="auto"/>
            </w:tcBorders>
            <w:shd w:val="clear" w:color="000000" w:fill="FFFFFF"/>
            <w:noWrap/>
            <w:vAlign w:val="bottom"/>
            <w:hideMark/>
          </w:tcPr>
          <w:p w14:paraId="3506AEE2"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237</w:t>
            </w:r>
          </w:p>
        </w:tc>
        <w:tc>
          <w:tcPr>
            <w:tcW w:w="681" w:type="dxa"/>
            <w:tcBorders>
              <w:top w:val="nil"/>
              <w:left w:val="nil"/>
              <w:bottom w:val="single" w:sz="4" w:space="0" w:color="auto"/>
              <w:right w:val="single" w:sz="4" w:space="0" w:color="auto"/>
            </w:tcBorders>
            <w:shd w:val="clear" w:color="000000" w:fill="FFFFFF"/>
            <w:noWrap/>
            <w:vAlign w:val="bottom"/>
            <w:hideMark/>
          </w:tcPr>
          <w:p w14:paraId="5C6FF6C8"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364</w:t>
            </w:r>
          </w:p>
        </w:tc>
        <w:tc>
          <w:tcPr>
            <w:tcW w:w="680" w:type="dxa"/>
            <w:tcBorders>
              <w:top w:val="nil"/>
              <w:left w:val="nil"/>
              <w:bottom w:val="single" w:sz="4" w:space="0" w:color="auto"/>
              <w:right w:val="single" w:sz="4" w:space="0" w:color="auto"/>
            </w:tcBorders>
            <w:shd w:val="clear" w:color="000000" w:fill="FFFFFF"/>
            <w:noWrap/>
            <w:vAlign w:val="bottom"/>
            <w:hideMark/>
          </w:tcPr>
          <w:p w14:paraId="4E5B38F6" w14:textId="57F48E47"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236,2</w:t>
            </w:r>
          </w:p>
        </w:tc>
        <w:tc>
          <w:tcPr>
            <w:tcW w:w="681" w:type="dxa"/>
            <w:tcBorders>
              <w:top w:val="nil"/>
              <w:left w:val="nil"/>
              <w:bottom w:val="single" w:sz="4" w:space="0" w:color="auto"/>
              <w:right w:val="single" w:sz="4" w:space="0" w:color="auto"/>
            </w:tcBorders>
            <w:shd w:val="clear" w:color="000000" w:fill="FFFFFF"/>
            <w:noWrap/>
            <w:vAlign w:val="bottom"/>
            <w:hideMark/>
          </w:tcPr>
          <w:p w14:paraId="1CA51B32" w14:textId="3F0ECC98"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153,9</w:t>
            </w:r>
          </w:p>
        </w:tc>
        <w:tc>
          <w:tcPr>
            <w:tcW w:w="142" w:type="dxa"/>
            <w:tcBorders>
              <w:top w:val="nil"/>
              <w:left w:val="nil"/>
              <w:bottom w:val="single" w:sz="4" w:space="0" w:color="auto"/>
              <w:right w:val="single" w:sz="4" w:space="0" w:color="auto"/>
            </w:tcBorders>
            <w:shd w:val="clear" w:color="000000" w:fill="FFFFFF"/>
            <w:noWrap/>
            <w:vAlign w:val="bottom"/>
            <w:hideMark/>
          </w:tcPr>
          <w:p w14:paraId="0511213D" w14:textId="77777777" w:rsidR="00C9417B" w:rsidRPr="005367E0" w:rsidRDefault="00C9417B" w:rsidP="00C9417B">
            <w:pPr>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 </w:t>
            </w:r>
          </w:p>
        </w:tc>
        <w:tc>
          <w:tcPr>
            <w:tcW w:w="714" w:type="dxa"/>
            <w:tcBorders>
              <w:top w:val="nil"/>
              <w:left w:val="nil"/>
              <w:bottom w:val="single" w:sz="4" w:space="0" w:color="auto"/>
              <w:right w:val="single" w:sz="4" w:space="0" w:color="auto"/>
            </w:tcBorders>
            <w:shd w:val="clear" w:color="000000" w:fill="FFFFFF"/>
            <w:noWrap/>
            <w:vAlign w:val="bottom"/>
            <w:hideMark/>
          </w:tcPr>
          <w:p w14:paraId="7D34CCFD"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757</w:t>
            </w:r>
          </w:p>
        </w:tc>
        <w:tc>
          <w:tcPr>
            <w:tcW w:w="714" w:type="dxa"/>
            <w:tcBorders>
              <w:top w:val="nil"/>
              <w:left w:val="nil"/>
              <w:bottom w:val="single" w:sz="4" w:space="0" w:color="auto"/>
              <w:right w:val="single" w:sz="4" w:space="0" w:color="auto"/>
            </w:tcBorders>
            <w:shd w:val="clear" w:color="000000" w:fill="FFFFFF"/>
            <w:noWrap/>
            <w:vAlign w:val="bottom"/>
            <w:hideMark/>
          </w:tcPr>
          <w:p w14:paraId="6DA91013"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375</w:t>
            </w:r>
          </w:p>
        </w:tc>
        <w:tc>
          <w:tcPr>
            <w:tcW w:w="715" w:type="dxa"/>
            <w:tcBorders>
              <w:top w:val="nil"/>
              <w:left w:val="nil"/>
              <w:bottom w:val="single" w:sz="4" w:space="0" w:color="auto"/>
              <w:right w:val="single" w:sz="4" w:space="0" w:color="auto"/>
            </w:tcBorders>
            <w:shd w:val="clear" w:color="000000" w:fill="FFFFFF"/>
            <w:noWrap/>
            <w:vAlign w:val="bottom"/>
            <w:hideMark/>
          </w:tcPr>
          <w:p w14:paraId="09DAA703"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511</w:t>
            </w:r>
          </w:p>
        </w:tc>
        <w:tc>
          <w:tcPr>
            <w:tcW w:w="714" w:type="dxa"/>
            <w:tcBorders>
              <w:top w:val="nil"/>
              <w:left w:val="nil"/>
              <w:bottom w:val="single" w:sz="4" w:space="0" w:color="auto"/>
              <w:right w:val="single" w:sz="4" w:space="0" w:color="auto"/>
            </w:tcBorders>
            <w:shd w:val="clear" w:color="000000" w:fill="FFFFFF"/>
            <w:noWrap/>
            <w:vAlign w:val="bottom"/>
            <w:hideMark/>
          </w:tcPr>
          <w:p w14:paraId="2445C62E" w14:textId="21151311"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202,1</w:t>
            </w:r>
          </w:p>
        </w:tc>
        <w:tc>
          <w:tcPr>
            <w:tcW w:w="715" w:type="dxa"/>
            <w:tcBorders>
              <w:top w:val="nil"/>
              <w:left w:val="nil"/>
              <w:bottom w:val="single" w:sz="4" w:space="0" w:color="auto"/>
              <w:right w:val="single" w:sz="4" w:space="0" w:color="auto"/>
            </w:tcBorders>
            <w:shd w:val="clear" w:color="000000" w:fill="FFFFFF"/>
            <w:noWrap/>
            <w:vAlign w:val="bottom"/>
            <w:hideMark/>
          </w:tcPr>
          <w:p w14:paraId="23D08D02" w14:textId="408942D3"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148,3</w:t>
            </w:r>
          </w:p>
        </w:tc>
      </w:tr>
      <w:tr w:rsidR="005367E0" w:rsidRPr="005367E0" w14:paraId="5C3BF17D" w14:textId="77777777" w:rsidTr="00F95A8E">
        <w:trPr>
          <w:trHeight w:val="300"/>
        </w:trPr>
        <w:tc>
          <w:tcPr>
            <w:tcW w:w="1956" w:type="dxa"/>
            <w:tcBorders>
              <w:top w:val="nil"/>
              <w:left w:val="single" w:sz="4" w:space="0" w:color="auto"/>
              <w:bottom w:val="single" w:sz="4" w:space="0" w:color="auto"/>
              <w:right w:val="single" w:sz="4" w:space="0" w:color="auto"/>
            </w:tcBorders>
            <w:shd w:val="clear" w:color="auto" w:fill="auto"/>
            <w:noWrap/>
            <w:vAlign w:val="bottom"/>
            <w:hideMark/>
          </w:tcPr>
          <w:p w14:paraId="2876FC9D" w14:textId="037BBBC9" w:rsidR="00C9417B" w:rsidRPr="00F95A8E" w:rsidRDefault="005367E0" w:rsidP="005367E0">
            <w:pPr>
              <w:rPr>
                <w:rFonts w:asciiTheme="majorHAnsi" w:eastAsia="Times New Roman" w:hAnsiTheme="majorHAnsi" w:cs="Times New Roman"/>
                <w:color w:val="000000"/>
                <w:sz w:val="22"/>
                <w:szCs w:val="22"/>
                <w:lang w:val="fr-BE" w:eastAsia="fr-BE"/>
              </w:rPr>
            </w:pPr>
            <w:r w:rsidRPr="00F95A8E">
              <w:rPr>
                <w:rFonts w:asciiTheme="majorHAnsi" w:eastAsia="Times New Roman" w:hAnsiTheme="majorHAnsi" w:cs="Times New Roman"/>
                <w:color w:val="000000"/>
                <w:sz w:val="22"/>
                <w:szCs w:val="22"/>
                <w:lang w:val="fr-BE" w:eastAsia="fr-BE"/>
              </w:rPr>
              <w:t>All living arrangements</w:t>
            </w:r>
            <w:r w:rsidR="00C9417B" w:rsidRPr="00F95A8E">
              <w:rPr>
                <w:rFonts w:asciiTheme="majorHAnsi" w:eastAsia="Times New Roman" w:hAnsiTheme="majorHAnsi" w:cs="Times New Roman"/>
                <w:color w:val="000000"/>
                <w:sz w:val="22"/>
                <w:szCs w:val="22"/>
                <w:lang w:val="fr-BE" w:eastAsia="fr-BE"/>
              </w:rPr>
              <w:t xml:space="preserve"> </w:t>
            </w:r>
          </w:p>
        </w:tc>
        <w:tc>
          <w:tcPr>
            <w:tcW w:w="680" w:type="dxa"/>
            <w:tcBorders>
              <w:top w:val="nil"/>
              <w:left w:val="nil"/>
              <w:bottom w:val="single" w:sz="4" w:space="0" w:color="auto"/>
              <w:right w:val="single" w:sz="4" w:space="0" w:color="auto"/>
            </w:tcBorders>
            <w:shd w:val="clear" w:color="000000" w:fill="FFFFFF"/>
            <w:noWrap/>
            <w:vAlign w:val="bottom"/>
            <w:hideMark/>
          </w:tcPr>
          <w:p w14:paraId="77C5DCFC"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43690</w:t>
            </w:r>
          </w:p>
        </w:tc>
        <w:tc>
          <w:tcPr>
            <w:tcW w:w="680" w:type="dxa"/>
            <w:tcBorders>
              <w:top w:val="nil"/>
              <w:left w:val="nil"/>
              <w:bottom w:val="single" w:sz="4" w:space="0" w:color="auto"/>
              <w:right w:val="single" w:sz="4" w:space="0" w:color="auto"/>
            </w:tcBorders>
            <w:shd w:val="clear" w:color="000000" w:fill="FFFFFF"/>
            <w:noWrap/>
            <w:vAlign w:val="bottom"/>
            <w:hideMark/>
          </w:tcPr>
          <w:p w14:paraId="7CBBBA76"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44253</w:t>
            </w:r>
          </w:p>
        </w:tc>
        <w:tc>
          <w:tcPr>
            <w:tcW w:w="681" w:type="dxa"/>
            <w:tcBorders>
              <w:top w:val="nil"/>
              <w:left w:val="nil"/>
              <w:bottom w:val="single" w:sz="4" w:space="0" w:color="auto"/>
              <w:right w:val="single" w:sz="4" w:space="0" w:color="auto"/>
            </w:tcBorders>
            <w:shd w:val="clear" w:color="000000" w:fill="FFFFFF"/>
            <w:noWrap/>
            <w:vAlign w:val="bottom"/>
            <w:hideMark/>
          </w:tcPr>
          <w:p w14:paraId="48ED3814"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43484</w:t>
            </w:r>
          </w:p>
        </w:tc>
        <w:tc>
          <w:tcPr>
            <w:tcW w:w="680" w:type="dxa"/>
            <w:tcBorders>
              <w:top w:val="nil"/>
              <w:left w:val="nil"/>
              <w:bottom w:val="single" w:sz="4" w:space="0" w:color="auto"/>
              <w:right w:val="single" w:sz="4" w:space="0" w:color="auto"/>
            </w:tcBorders>
            <w:shd w:val="clear" w:color="000000" w:fill="FFFFFF"/>
            <w:noWrap/>
            <w:vAlign w:val="bottom"/>
            <w:hideMark/>
          </w:tcPr>
          <w:p w14:paraId="4F8D30CE" w14:textId="5C03197A"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98,7</w:t>
            </w:r>
          </w:p>
        </w:tc>
        <w:tc>
          <w:tcPr>
            <w:tcW w:w="681" w:type="dxa"/>
            <w:tcBorders>
              <w:top w:val="nil"/>
              <w:left w:val="nil"/>
              <w:bottom w:val="single" w:sz="4" w:space="0" w:color="auto"/>
              <w:right w:val="single" w:sz="4" w:space="0" w:color="auto"/>
            </w:tcBorders>
            <w:shd w:val="clear" w:color="000000" w:fill="FFFFFF"/>
            <w:noWrap/>
            <w:vAlign w:val="bottom"/>
            <w:hideMark/>
          </w:tcPr>
          <w:p w14:paraId="76962AFF" w14:textId="35CBAB60"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100,5</w:t>
            </w:r>
          </w:p>
        </w:tc>
        <w:tc>
          <w:tcPr>
            <w:tcW w:w="142" w:type="dxa"/>
            <w:tcBorders>
              <w:top w:val="nil"/>
              <w:left w:val="nil"/>
              <w:bottom w:val="single" w:sz="4" w:space="0" w:color="auto"/>
              <w:right w:val="single" w:sz="4" w:space="0" w:color="auto"/>
            </w:tcBorders>
            <w:shd w:val="clear" w:color="000000" w:fill="FFFFFF"/>
            <w:noWrap/>
            <w:vAlign w:val="bottom"/>
            <w:hideMark/>
          </w:tcPr>
          <w:p w14:paraId="79FC6282" w14:textId="77777777" w:rsidR="00C9417B" w:rsidRPr="005367E0" w:rsidRDefault="00C9417B" w:rsidP="00C9417B">
            <w:pPr>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 </w:t>
            </w:r>
          </w:p>
        </w:tc>
        <w:tc>
          <w:tcPr>
            <w:tcW w:w="714" w:type="dxa"/>
            <w:tcBorders>
              <w:top w:val="nil"/>
              <w:left w:val="nil"/>
              <w:bottom w:val="single" w:sz="4" w:space="0" w:color="auto"/>
              <w:right w:val="single" w:sz="4" w:space="0" w:color="auto"/>
            </w:tcBorders>
            <w:shd w:val="clear" w:color="000000" w:fill="FFFFFF"/>
            <w:noWrap/>
            <w:vAlign w:val="bottom"/>
            <w:hideMark/>
          </w:tcPr>
          <w:p w14:paraId="625C0864"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48671</w:t>
            </w:r>
          </w:p>
        </w:tc>
        <w:tc>
          <w:tcPr>
            <w:tcW w:w="714" w:type="dxa"/>
            <w:tcBorders>
              <w:top w:val="nil"/>
              <w:left w:val="nil"/>
              <w:bottom w:val="single" w:sz="4" w:space="0" w:color="auto"/>
              <w:right w:val="single" w:sz="4" w:space="0" w:color="auto"/>
            </w:tcBorders>
            <w:shd w:val="clear" w:color="000000" w:fill="FFFFFF"/>
            <w:noWrap/>
            <w:vAlign w:val="bottom"/>
            <w:hideMark/>
          </w:tcPr>
          <w:p w14:paraId="7FBAC535"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50124</w:t>
            </w:r>
          </w:p>
        </w:tc>
        <w:tc>
          <w:tcPr>
            <w:tcW w:w="715" w:type="dxa"/>
            <w:tcBorders>
              <w:top w:val="nil"/>
              <w:left w:val="nil"/>
              <w:bottom w:val="single" w:sz="4" w:space="0" w:color="auto"/>
              <w:right w:val="single" w:sz="4" w:space="0" w:color="auto"/>
            </w:tcBorders>
            <w:shd w:val="clear" w:color="000000" w:fill="FFFFFF"/>
            <w:noWrap/>
            <w:vAlign w:val="bottom"/>
            <w:hideMark/>
          </w:tcPr>
          <w:p w14:paraId="3B2C7D23" w14:textId="77777777" w:rsidR="00C9417B" w:rsidRPr="005367E0" w:rsidRDefault="00C9417B" w:rsidP="00C9417B">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47962</w:t>
            </w:r>
          </w:p>
        </w:tc>
        <w:tc>
          <w:tcPr>
            <w:tcW w:w="714" w:type="dxa"/>
            <w:tcBorders>
              <w:top w:val="nil"/>
              <w:left w:val="nil"/>
              <w:bottom w:val="single" w:sz="4" w:space="0" w:color="auto"/>
              <w:right w:val="single" w:sz="4" w:space="0" w:color="auto"/>
            </w:tcBorders>
            <w:shd w:val="clear" w:color="000000" w:fill="FFFFFF"/>
            <w:noWrap/>
            <w:vAlign w:val="bottom"/>
            <w:hideMark/>
          </w:tcPr>
          <w:p w14:paraId="34C97D5C" w14:textId="6CD575B6"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97,1</w:t>
            </w:r>
          </w:p>
        </w:tc>
        <w:tc>
          <w:tcPr>
            <w:tcW w:w="715" w:type="dxa"/>
            <w:tcBorders>
              <w:top w:val="nil"/>
              <w:left w:val="nil"/>
              <w:bottom w:val="single" w:sz="4" w:space="0" w:color="auto"/>
              <w:right w:val="single" w:sz="4" w:space="0" w:color="auto"/>
            </w:tcBorders>
            <w:shd w:val="clear" w:color="000000" w:fill="FFFFFF"/>
            <w:noWrap/>
            <w:vAlign w:val="bottom"/>
            <w:hideMark/>
          </w:tcPr>
          <w:p w14:paraId="30DAFD80" w14:textId="5411B7E2" w:rsidR="00C9417B" w:rsidRPr="005367E0" w:rsidRDefault="00C9417B" w:rsidP="005367E0">
            <w:pPr>
              <w:jc w:val="right"/>
              <w:rPr>
                <w:rFonts w:asciiTheme="majorHAnsi" w:eastAsia="Times New Roman" w:hAnsiTheme="majorHAnsi" w:cs="Times New Roman"/>
                <w:bCs/>
                <w:color w:val="000000"/>
                <w:sz w:val="22"/>
                <w:szCs w:val="22"/>
                <w:lang w:val="fr-BE" w:eastAsia="fr-BE"/>
              </w:rPr>
            </w:pPr>
            <w:r w:rsidRPr="005367E0">
              <w:rPr>
                <w:rFonts w:asciiTheme="majorHAnsi" w:eastAsia="Times New Roman" w:hAnsiTheme="majorHAnsi" w:cs="Times New Roman"/>
                <w:bCs/>
                <w:color w:val="000000"/>
                <w:sz w:val="22"/>
                <w:szCs w:val="22"/>
                <w:lang w:val="fr-BE" w:eastAsia="fr-BE"/>
              </w:rPr>
              <w:t>101,5</w:t>
            </w:r>
          </w:p>
        </w:tc>
      </w:tr>
    </w:tbl>
    <w:p w14:paraId="7A5DE717" w14:textId="77777777" w:rsidR="00C9417B" w:rsidRPr="005367E0" w:rsidRDefault="00C9417B" w:rsidP="007D360C">
      <w:pPr>
        <w:jc w:val="both"/>
        <w:rPr>
          <w:rFonts w:asciiTheme="majorHAnsi" w:hAnsiTheme="majorHAnsi" w:cs="Times New Roman"/>
          <w:b/>
          <w:i/>
          <w:sz w:val="22"/>
          <w:szCs w:val="22"/>
          <w:lang w:val="en-US"/>
        </w:rPr>
      </w:pPr>
    </w:p>
    <w:p w14:paraId="5C8DA51A" w14:textId="1C869DFE" w:rsidR="000F4170" w:rsidRPr="005367E0" w:rsidRDefault="00A95D22" w:rsidP="007D360C">
      <w:pPr>
        <w:rPr>
          <w:rFonts w:asciiTheme="majorHAnsi" w:hAnsiTheme="majorHAnsi" w:cs="Times New Roman"/>
          <w:b/>
          <w:sz w:val="28"/>
          <w:szCs w:val="28"/>
          <w:lang w:val="en-GB"/>
        </w:rPr>
      </w:pPr>
      <w:r w:rsidRPr="005367E0">
        <w:rPr>
          <w:rFonts w:asciiTheme="majorHAnsi" w:hAnsiTheme="majorHAnsi" w:cs="Times New Roman"/>
          <w:b/>
          <w:sz w:val="28"/>
          <w:szCs w:val="28"/>
          <w:lang w:val="en-GB"/>
        </w:rPr>
        <w:t>Discussion</w:t>
      </w:r>
    </w:p>
    <w:p w14:paraId="109233BC" w14:textId="0A4D76AB" w:rsidR="00906A11" w:rsidRPr="00316D1A" w:rsidRDefault="00316D1A" w:rsidP="00316D1A">
      <w:pPr>
        <w:jc w:val="both"/>
        <w:rPr>
          <w:rFonts w:asciiTheme="majorHAnsi" w:hAnsiTheme="majorHAnsi" w:cs="Times New Roman"/>
          <w:lang w:val="en-GB"/>
        </w:rPr>
      </w:pPr>
      <w:r>
        <w:rPr>
          <w:rFonts w:asciiTheme="majorHAnsi" w:hAnsiTheme="majorHAnsi" w:cs="Times New Roman"/>
          <w:lang w:val="en-GB"/>
        </w:rPr>
        <w:t>The more important changes in the structure of the population by living arrangements are</w:t>
      </w:r>
      <w:r w:rsidR="001E0703">
        <w:rPr>
          <w:rFonts w:asciiTheme="majorHAnsi" w:hAnsiTheme="majorHAnsi" w:cs="Times New Roman"/>
          <w:lang w:val="en-GB"/>
        </w:rPr>
        <w:t>,</w:t>
      </w:r>
      <w:r>
        <w:rPr>
          <w:rFonts w:asciiTheme="majorHAnsi" w:hAnsiTheme="majorHAnsi" w:cs="Times New Roman"/>
          <w:lang w:val="en-GB"/>
        </w:rPr>
        <w:t xml:space="preserve"> for men</w:t>
      </w:r>
      <w:r w:rsidR="001E0703">
        <w:rPr>
          <w:rFonts w:asciiTheme="majorHAnsi" w:hAnsiTheme="majorHAnsi" w:cs="Times New Roman"/>
          <w:lang w:val="en-GB"/>
        </w:rPr>
        <w:t>,</w:t>
      </w:r>
      <w:r>
        <w:rPr>
          <w:rFonts w:asciiTheme="majorHAnsi" w:hAnsiTheme="majorHAnsi" w:cs="Times New Roman"/>
          <w:lang w:val="en-GB"/>
        </w:rPr>
        <w:t xml:space="preserve"> the decreasing number of those living with others, </w:t>
      </w:r>
      <w:r w:rsidR="001E0703">
        <w:rPr>
          <w:rFonts w:asciiTheme="majorHAnsi" w:hAnsiTheme="majorHAnsi" w:cs="Times New Roman"/>
          <w:lang w:val="en-GB"/>
        </w:rPr>
        <w:t xml:space="preserve">living </w:t>
      </w:r>
      <w:r>
        <w:rPr>
          <w:rFonts w:asciiTheme="majorHAnsi" w:hAnsiTheme="majorHAnsi" w:cs="Times New Roman"/>
          <w:lang w:val="en-GB"/>
        </w:rPr>
        <w:t xml:space="preserve">in collective household </w:t>
      </w:r>
      <w:r w:rsidR="001E0703">
        <w:rPr>
          <w:rFonts w:asciiTheme="majorHAnsi" w:hAnsiTheme="majorHAnsi" w:cs="Times New Roman"/>
          <w:lang w:val="en-GB"/>
        </w:rPr>
        <w:t>(</w:t>
      </w:r>
      <w:r>
        <w:rPr>
          <w:rFonts w:asciiTheme="majorHAnsi" w:hAnsiTheme="majorHAnsi" w:cs="Times New Roman"/>
          <w:lang w:val="en-GB"/>
        </w:rPr>
        <w:t>being married or widowed</w:t>
      </w:r>
      <w:r w:rsidR="001E0703">
        <w:rPr>
          <w:rFonts w:asciiTheme="majorHAnsi" w:hAnsiTheme="majorHAnsi" w:cs="Times New Roman"/>
          <w:lang w:val="en-GB"/>
        </w:rPr>
        <w:t>)</w:t>
      </w:r>
      <w:r>
        <w:rPr>
          <w:rFonts w:asciiTheme="majorHAnsi" w:hAnsiTheme="majorHAnsi" w:cs="Times New Roman"/>
          <w:lang w:val="en-GB"/>
        </w:rPr>
        <w:t xml:space="preserve"> and widowed living alone. For women</w:t>
      </w:r>
      <w:r w:rsidR="001E0703">
        <w:rPr>
          <w:rFonts w:asciiTheme="majorHAnsi" w:hAnsiTheme="majorHAnsi" w:cs="Times New Roman"/>
          <w:lang w:val="en-GB"/>
        </w:rPr>
        <w:t>,</w:t>
      </w:r>
      <w:r>
        <w:rPr>
          <w:rFonts w:asciiTheme="majorHAnsi" w:hAnsiTheme="majorHAnsi" w:cs="Times New Roman"/>
          <w:lang w:val="en-GB"/>
        </w:rPr>
        <w:t xml:space="preserve"> the decrease of single living alone is also </w:t>
      </w:r>
      <w:r w:rsidR="001E0703">
        <w:rPr>
          <w:rFonts w:asciiTheme="majorHAnsi" w:hAnsiTheme="majorHAnsi" w:cs="Times New Roman"/>
          <w:lang w:val="en-GB"/>
        </w:rPr>
        <w:t>contributing to the reduction of</w:t>
      </w:r>
      <w:r>
        <w:rPr>
          <w:rFonts w:asciiTheme="majorHAnsi" w:hAnsiTheme="majorHAnsi" w:cs="Times New Roman"/>
          <w:lang w:val="en-GB"/>
        </w:rPr>
        <w:t xml:space="preserve"> the number of deaths. At contrary</w:t>
      </w:r>
      <w:r w:rsidR="001E0703">
        <w:rPr>
          <w:rFonts w:asciiTheme="majorHAnsi" w:hAnsiTheme="majorHAnsi" w:cs="Times New Roman"/>
          <w:lang w:val="en-GB"/>
        </w:rPr>
        <w:t>,</w:t>
      </w:r>
      <w:r>
        <w:rPr>
          <w:rFonts w:asciiTheme="majorHAnsi" w:hAnsiTheme="majorHAnsi" w:cs="Times New Roman"/>
          <w:lang w:val="en-GB"/>
        </w:rPr>
        <w:t xml:space="preserve"> the living arrangements responsible for increasing the number of death or at least reducing the mortality improvement are</w:t>
      </w:r>
      <w:r w:rsidR="001E0703">
        <w:rPr>
          <w:rFonts w:asciiTheme="majorHAnsi" w:hAnsiTheme="majorHAnsi" w:cs="Times New Roman"/>
          <w:lang w:val="en-GB"/>
        </w:rPr>
        <w:t>,</w:t>
      </w:r>
      <w:r>
        <w:rPr>
          <w:rFonts w:asciiTheme="majorHAnsi" w:hAnsiTheme="majorHAnsi" w:cs="Times New Roman"/>
          <w:lang w:val="en-GB"/>
        </w:rPr>
        <w:t xml:space="preserve"> for both men and women</w:t>
      </w:r>
      <w:r w:rsidR="001E0703">
        <w:rPr>
          <w:rFonts w:asciiTheme="majorHAnsi" w:hAnsiTheme="majorHAnsi" w:cs="Times New Roman"/>
          <w:lang w:val="en-GB"/>
        </w:rPr>
        <w:t>,</w:t>
      </w:r>
      <w:r>
        <w:rPr>
          <w:rFonts w:asciiTheme="majorHAnsi" w:hAnsiTheme="majorHAnsi" w:cs="Times New Roman"/>
          <w:lang w:val="en-GB"/>
        </w:rPr>
        <w:t xml:space="preserve"> th</w:t>
      </w:r>
      <w:r w:rsidR="006537A1">
        <w:rPr>
          <w:rFonts w:asciiTheme="majorHAnsi" w:hAnsiTheme="majorHAnsi" w:cs="Times New Roman"/>
          <w:lang w:val="en-GB"/>
        </w:rPr>
        <w:t xml:space="preserve">e divorced persons living alone </w:t>
      </w:r>
      <w:r>
        <w:rPr>
          <w:rFonts w:asciiTheme="majorHAnsi" w:hAnsiTheme="majorHAnsi" w:cs="Times New Roman"/>
          <w:lang w:val="en-GB"/>
        </w:rPr>
        <w:t>or in collective household</w:t>
      </w:r>
      <w:r w:rsidR="006537A1">
        <w:rPr>
          <w:rFonts w:asciiTheme="majorHAnsi" w:hAnsiTheme="majorHAnsi" w:cs="Times New Roman"/>
          <w:lang w:val="en-GB"/>
        </w:rPr>
        <w:t xml:space="preserve"> and those living with partner. The more important changes observed in mortality risks by living arrangements concern on the positive viewpoint those living with spouse and with partner, particularly for men. On the negative side the increase of mortality risks in collective households is notable.</w:t>
      </w:r>
    </w:p>
    <w:sectPr w:rsidR="00906A11" w:rsidRPr="00316D1A" w:rsidSect="004F0268">
      <w:type w:val="continuous"/>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B8283" w14:textId="77777777" w:rsidR="00446320" w:rsidRDefault="00446320" w:rsidP="001D10DF">
      <w:r>
        <w:separator/>
      </w:r>
    </w:p>
  </w:endnote>
  <w:endnote w:type="continuationSeparator" w:id="0">
    <w:p w14:paraId="130AB38D" w14:textId="77777777" w:rsidR="00446320" w:rsidRDefault="00446320" w:rsidP="001D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7235E" w14:textId="77777777" w:rsidR="00446320" w:rsidRDefault="00446320" w:rsidP="001D10DF">
      <w:r>
        <w:separator/>
      </w:r>
    </w:p>
  </w:footnote>
  <w:footnote w:type="continuationSeparator" w:id="0">
    <w:p w14:paraId="466B0F9F" w14:textId="77777777" w:rsidR="00446320" w:rsidRDefault="00446320" w:rsidP="001D1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C2224"/>
    <w:multiLevelType w:val="hybridMultilevel"/>
    <w:tmpl w:val="9452A5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F5751D"/>
    <w:multiLevelType w:val="hybridMultilevel"/>
    <w:tmpl w:val="79CAC3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931C84"/>
    <w:multiLevelType w:val="hybridMultilevel"/>
    <w:tmpl w:val="33E65D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ED1700"/>
    <w:multiLevelType w:val="hybridMultilevel"/>
    <w:tmpl w:val="5E2073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1027230"/>
    <w:multiLevelType w:val="hybridMultilevel"/>
    <w:tmpl w:val="E28A8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AA1CB2"/>
    <w:multiLevelType w:val="hybridMultilevel"/>
    <w:tmpl w:val="FA5C55E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5C2DF3"/>
    <w:multiLevelType w:val="hybridMultilevel"/>
    <w:tmpl w:val="F94EB5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6D15E3"/>
    <w:multiLevelType w:val="hybridMultilevel"/>
    <w:tmpl w:val="B20C11F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072B89"/>
    <w:multiLevelType w:val="hybridMultilevel"/>
    <w:tmpl w:val="DB10749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D9B2E87"/>
    <w:multiLevelType w:val="hybridMultilevel"/>
    <w:tmpl w:val="764A9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8D451A"/>
    <w:multiLevelType w:val="hybridMultilevel"/>
    <w:tmpl w:val="932EB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320A66"/>
    <w:multiLevelType w:val="hybridMultilevel"/>
    <w:tmpl w:val="269A6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D923B0"/>
    <w:multiLevelType w:val="hybridMultilevel"/>
    <w:tmpl w:val="811C9EB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69A5092"/>
    <w:multiLevelType w:val="hybridMultilevel"/>
    <w:tmpl w:val="825A58D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3B3AF6"/>
    <w:multiLevelType w:val="hybridMultilevel"/>
    <w:tmpl w:val="3BDE2752"/>
    <w:lvl w:ilvl="0" w:tplc="1C96E84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14836BC"/>
    <w:multiLevelType w:val="hybridMultilevel"/>
    <w:tmpl w:val="0040C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880AFE"/>
    <w:multiLevelType w:val="hybridMultilevel"/>
    <w:tmpl w:val="E3DC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5"/>
  </w:num>
  <w:num w:numId="4">
    <w:abstractNumId w:val="13"/>
  </w:num>
  <w:num w:numId="5">
    <w:abstractNumId w:val="9"/>
  </w:num>
  <w:num w:numId="6">
    <w:abstractNumId w:val="3"/>
  </w:num>
  <w:num w:numId="7">
    <w:abstractNumId w:val="10"/>
  </w:num>
  <w:num w:numId="8">
    <w:abstractNumId w:val="14"/>
  </w:num>
  <w:num w:numId="9">
    <w:abstractNumId w:val="11"/>
  </w:num>
  <w:num w:numId="10">
    <w:abstractNumId w:val="6"/>
  </w:num>
  <w:num w:numId="11">
    <w:abstractNumId w:val="16"/>
  </w:num>
  <w:num w:numId="12">
    <w:abstractNumId w:val="2"/>
  </w:num>
  <w:num w:numId="13">
    <w:abstractNumId w:val="7"/>
  </w:num>
  <w:num w:numId="14">
    <w:abstractNumId w:val="12"/>
  </w:num>
  <w:num w:numId="15">
    <w:abstractNumId w:val="5"/>
  </w:num>
  <w:num w:numId="16">
    <w:abstractNumId w:val="0"/>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A8D"/>
    <w:rsid w:val="00021158"/>
    <w:rsid w:val="00030402"/>
    <w:rsid w:val="00051FAB"/>
    <w:rsid w:val="000842F4"/>
    <w:rsid w:val="000E5876"/>
    <w:rsid w:val="000F4170"/>
    <w:rsid w:val="00135A02"/>
    <w:rsid w:val="00145A2C"/>
    <w:rsid w:val="001460E7"/>
    <w:rsid w:val="00154EB0"/>
    <w:rsid w:val="001805BD"/>
    <w:rsid w:val="00193894"/>
    <w:rsid w:val="001A2D22"/>
    <w:rsid w:val="001B3661"/>
    <w:rsid w:val="001C3F64"/>
    <w:rsid w:val="001C7BC9"/>
    <w:rsid w:val="001D10DF"/>
    <w:rsid w:val="001D3653"/>
    <w:rsid w:val="001E0703"/>
    <w:rsid w:val="001F1A47"/>
    <w:rsid w:val="002010A9"/>
    <w:rsid w:val="002178CB"/>
    <w:rsid w:val="00221341"/>
    <w:rsid w:val="002317E7"/>
    <w:rsid w:val="0024279B"/>
    <w:rsid w:val="00252151"/>
    <w:rsid w:val="00294730"/>
    <w:rsid w:val="00294892"/>
    <w:rsid w:val="002A12EC"/>
    <w:rsid w:val="002B0817"/>
    <w:rsid w:val="002C1107"/>
    <w:rsid w:val="002C55CF"/>
    <w:rsid w:val="002C6878"/>
    <w:rsid w:val="00311C62"/>
    <w:rsid w:val="00316D1A"/>
    <w:rsid w:val="00323ABE"/>
    <w:rsid w:val="00341527"/>
    <w:rsid w:val="00366A6C"/>
    <w:rsid w:val="00367ED1"/>
    <w:rsid w:val="00370254"/>
    <w:rsid w:val="00382997"/>
    <w:rsid w:val="003A1456"/>
    <w:rsid w:val="003C42B9"/>
    <w:rsid w:val="003E6B16"/>
    <w:rsid w:val="003F02E3"/>
    <w:rsid w:val="003F29B6"/>
    <w:rsid w:val="004038DE"/>
    <w:rsid w:val="00423E9E"/>
    <w:rsid w:val="004275ED"/>
    <w:rsid w:val="00433659"/>
    <w:rsid w:val="00446320"/>
    <w:rsid w:val="00451C9C"/>
    <w:rsid w:val="00473AE8"/>
    <w:rsid w:val="00475491"/>
    <w:rsid w:val="004A25D8"/>
    <w:rsid w:val="004B743B"/>
    <w:rsid w:val="004C7AFA"/>
    <w:rsid w:val="004E559F"/>
    <w:rsid w:val="004F0268"/>
    <w:rsid w:val="005367E0"/>
    <w:rsid w:val="00537530"/>
    <w:rsid w:val="0054677B"/>
    <w:rsid w:val="00556D71"/>
    <w:rsid w:val="00580F0E"/>
    <w:rsid w:val="005A0ABE"/>
    <w:rsid w:val="005A0E86"/>
    <w:rsid w:val="005C2A8D"/>
    <w:rsid w:val="005E16E3"/>
    <w:rsid w:val="005F1FB7"/>
    <w:rsid w:val="005F367E"/>
    <w:rsid w:val="0060644D"/>
    <w:rsid w:val="00632BF3"/>
    <w:rsid w:val="006379E1"/>
    <w:rsid w:val="00645C80"/>
    <w:rsid w:val="006537A1"/>
    <w:rsid w:val="006563C9"/>
    <w:rsid w:val="00695CDE"/>
    <w:rsid w:val="006A6448"/>
    <w:rsid w:val="006D37E1"/>
    <w:rsid w:val="006D56D0"/>
    <w:rsid w:val="006F5118"/>
    <w:rsid w:val="00705705"/>
    <w:rsid w:val="007211EF"/>
    <w:rsid w:val="00757B5F"/>
    <w:rsid w:val="00776F20"/>
    <w:rsid w:val="00790D75"/>
    <w:rsid w:val="007936BB"/>
    <w:rsid w:val="00796C5A"/>
    <w:rsid w:val="007D360C"/>
    <w:rsid w:val="007D3C4F"/>
    <w:rsid w:val="007E05F9"/>
    <w:rsid w:val="007E2B46"/>
    <w:rsid w:val="007F45B1"/>
    <w:rsid w:val="008000BE"/>
    <w:rsid w:val="008061F9"/>
    <w:rsid w:val="00806384"/>
    <w:rsid w:val="00822859"/>
    <w:rsid w:val="00840A39"/>
    <w:rsid w:val="00850393"/>
    <w:rsid w:val="00862100"/>
    <w:rsid w:val="00877867"/>
    <w:rsid w:val="008B2893"/>
    <w:rsid w:val="008E3A91"/>
    <w:rsid w:val="008E640A"/>
    <w:rsid w:val="00906A11"/>
    <w:rsid w:val="00913248"/>
    <w:rsid w:val="00915394"/>
    <w:rsid w:val="009156F4"/>
    <w:rsid w:val="00970671"/>
    <w:rsid w:val="00975D3F"/>
    <w:rsid w:val="00977DE6"/>
    <w:rsid w:val="009835FF"/>
    <w:rsid w:val="009B008B"/>
    <w:rsid w:val="009B4867"/>
    <w:rsid w:val="009D541D"/>
    <w:rsid w:val="009E3309"/>
    <w:rsid w:val="00A16D18"/>
    <w:rsid w:val="00A632C7"/>
    <w:rsid w:val="00A67479"/>
    <w:rsid w:val="00A67F1B"/>
    <w:rsid w:val="00A72083"/>
    <w:rsid w:val="00A758C9"/>
    <w:rsid w:val="00A81D3C"/>
    <w:rsid w:val="00A92CE3"/>
    <w:rsid w:val="00A92F42"/>
    <w:rsid w:val="00A95D22"/>
    <w:rsid w:val="00AB38A0"/>
    <w:rsid w:val="00AC68E3"/>
    <w:rsid w:val="00AF3501"/>
    <w:rsid w:val="00B36DFD"/>
    <w:rsid w:val="00B6575D"/>
    <w:rsid w:val="00B85319"/>
    <w:rsid w:val="00B9284E"/>
    <w:rsid w:val="00B96F64"/>
    <w:rsid w:val="00BA3804"/>
    <w:rsid w:val="00BA64B5"/>
    <w:rsid w:val="00BB2932"/>
    <w:rsid w:val="00BB5911"/>
    <w:rsid w:val="00C13FAC"/>
    <w:rsid w:val="00C40654"/>
    <w:rsid w:val="00C407FE"/>
    <w:rsid w:val="00C45AFF"/>
    <w:rsid w:val="00C54823"/>
    <w:rsid w:val="00C86BE1"/>
    <w:rsid w:val="00C90AD6"/>
    <w:rsid w:val="00C9417B"/>
    <w:rsid w:val="00C94839"/>
    <w:rsid w:val="00CB76E3"/>
    <w:rsid w:val="00CE232A"/>
    <w:rsid w:val="00CE31D2"/>
    <w:rsid w:val="00D50D4C"/>
    <w:rsid w:val="00D57791"/>
    <w:rsid w:val="00D63B18"/>
    <w:rsid w:val="00D65A3A"/>
    <w:rsid w:val="00D71BC8"/>
    <w:rsid w:val="00D83EB2"/>
    <w:rsid w:val="00DA1356"/>
    <w:rsid w:val="00DA6C73"/>
    <w:rsid w:val="00DD2BB2"/>
    <w:rsid w:val="00DE0735"/>
    <w:rsid w:val="00E031F9"/>
    <w:rsid w:val="00E07A12"/>
    <w:rsid w:val="00E45672"/>
    <w:rsid w:val="00E760CC"/>
    <w:rsid w:val="00EE4A51"/>
    <w:rsid w:val="00EF1A2D"/>
    <w:rsid w:val="00EF1FF3"/>
    <w:rsid w:val="00F15E68"/>
    <w:rsid w:val="00F21DB5"/>
    <w:rsid w:val="00F9324F"/>
    <w:rsid w:val="00F95A8E"/>
    <w:rsid w:val="00FC6A83"/>
    <w:rsid w:val="00FC7FCE"/>
    <w:rsid w:val="00FE6A68"/>
    <w:rsid w:val="00FF186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1CE33"/>
  <w15:docId w15:val="{21455A69-F489-472D-8AC3-3D440384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A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294730"/>
    <w:pPr>
      <w:ind w:left="720"/>
      <w:contextualSpacing/>
    </w:pPr>
  </w:style>
  <w:style w:type="paragraph" w:styleId="Notedebasdepage">
    <w:name w:val="footnote text"/>
    <w:basedOn w:val="Normal"/>
    <w:link w:val="NotedebasdepageCar"/>
    <w:uiPriority w:val="99"/>
    <w:unhideWhenUsed/>
    <w:rsid w:val="001D10DF"/>
    <w:rPr>
      <w:rFonts w:eastAsiaTheme="minorHAnsi"/>
      <w:lang w:eastAsia="en-US"/>
    </w:rPr>
  </w:style>
  <w:style w:type="character" w:customStyle="1" w:styleId="NotedebasdepageCar">
    <w:name w:val="Note de bas de page Car"/>
    <w:basedOn w:val="Policepardfaut"/>
    <w:link w:val="Notedebasdepage"/>
    <w:uiPriority w:val="99"/>
    <w:rsid w:val="001D10DF"/>
    <w:rPr>
      <w:rFonts w:eastAsiaTheme="minorHAnsi"/>
      <w:lang w:eastAsia="en-US"/>
    </w:rPr>
  </w:style>
  <w:style w:type="character" w:styleId="Appelnotedebasdep">
    <w:name w:val="footnote reference"/>
    <w:basedOn w:val="Policepardfaut"/>
    <w:uiPriority w:val="99"/>
    <w:semiHidden/>
    <w:unhideWhenUsed/>
    <w:rsid w:val="001D10DF"/>
    <w:rPr>
      <w:vertAlign w:val="superscript"/>
    </w:rPr>
  </w:style>
  <w:style w:type="paragraph" w:styleId="Textedebulles">
    <w:name w:val="Balloon Text"/>
    <w:basedOn w:val="Normal"/>
    <w:link w:val="TextedebullesCar"/>
    <w:uiPriority w:val="99"/>
    <w:semiHidden/>
    <w:unhideWhenUsed/>
    <w:rsid w:val="000E587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E5876"/>
    <w:rPr>
      <w:rFonts w:ascii="Lucida Grande" w:hAnsi="Lucida Grande" w:cs="Lucida Grande"/>
      <w:sz w:val="18"/>
      <w:szCs w:val="18"/>
    </w:rPr>
  </w:style>
  <w:style w:type="paragraph" w:styleId="NormalWeb">
    <w:name w:val="Normal (Web)"/>
    <w:basedOn w:val="Normal"/>
    <w:uiPriority w:val="99"/>
    <w:rsid w:val="00C54823"/>
    <w:pPr>
      <w:spacing w:beforeLines="1" w:afterLines="1"/>
    </w:pPr>
    <w:rPr>
      <w:rFonts w:ascii="Times" w:eastAsiaTheme="minorHAnsi" w:hAnsi="Times" w:cs="Times New Roman"/>
      <w:sz w:val="20"/>
      <w:szCs w:val="20"/>
      <w:lang w:val="en-GB" w:eastAsia="fr-FR"/>
    </w:rPr>
  </w:style>
  <w:style w:type="character" w:styleId="Lienhypertexte">
    <w:name w:val="Hyperlink"/>
    <w:basedOn w:val="Policepardfaut"/>
    <w:uiPriority w:val="99"/>
    <w:unhideWhenUsed/>
    <w:rsid w:val="004B74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952708">
      <w:bodyDiv w:val="1"/>
      <w:marLeft w:val="0"/>
      <w:marRight w:val="0"/>
      <w:marTop w:val="0"/>
      <w:marBottom w:val="0"/>
      <w:divBdr>
        <w:top w:val="none" w:sz="0" w:space="0" w:color="auto"/>
        <w:left w:val="none" w:sz="0" w:space="0" w:color="auto"/>
        <w:bottom w:val="none" w:sz="0" w:space="0" w:color="auto"/>
        <w:right w:val="none" w:sz="0" w:space="0" w:color="auto"/>
      </w:divBdr>
    </w:div>
    <w:div w:id="1809934137">
      <w:bodyDiv w:val="1"/>
      <w:marLeft w:val="0"/>
      <w:marRight w:val="0"/>
      <w:marTop w:val="0"/>
      <w:marBottom w:val="0"/>
      <w:divBdr>
        <w:top w:val="none" w:sz="0" w:space="0" w:color="auto"/>
        <w:left w:val="none" w:sz="0" w:space="0" w:color="auto"/>
        <w:bottom w:val="none" w:sz="0" w:space="0" w:color="auto"/>
        <w:right w:val="none" w:sz="0" w:space="0" w:color="auto"/>
      </w:divBdr>
    </w:div>
    <w:div w:id="1936357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1514</Words>
  <Characters>8330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UCL</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POULAIN</dc:creator>
  <cp:lastModifiedBy>SIWS</cp:lastModifiedBy>
  <cp:revision>2</cp:revision>
  <cp:lastPrinted>2016-12-13T12:23:00Z</cp:lastPrinted>
  <dcterms:created xsi:type="dcterms:W3CDTF">2017-09-15T08:45:00Z</dcterms:created>
  <dcterms:modified xsi:type="dcterms:W3CDTF">2017-09-15T08:45:00Z</dcterms:modified>
</cp:coreProperties>
</file>