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5482" w14:textId="2A6EE6FE" w:rsidR="003C7458" w:rsidRPr="003C7458" w:rsidRDefault="003C7458" w:rsidP="007A25F6">
      <w:pPr>
        <w:widowControl w:val="0"/>
        <w:tabs>
          <w:tab w:val="left" w:pos="220"/>
          <w:tab w:val="left" w:pos="720"/>
        </w:tabs>
        <w:autoSpaceDE w:val="0"/>
        <w:autoSpaceDN w:val="0"/>
        <w:adjustRightInd w:val="0"/>
        <w:spacing w:after="240" w:line="276" w:lineRule="auto"/>
        <w:jc w:val="both"/>
      </w:pPr>
      <w:r w:rsidRPr="003C7458">
        <w:rPr>
          <w:b/>
        </w:rPr>
        <w:t>Axe </w:t>
      </w:r>
      <w:r>
        <w:t xml:space="preserve">: </w:t>
      </w:r>
      <w:r w:rsidR="00CB6838">
        <w:t>Relations intergénérationnelles et mode de vie</w:t>
      </w:r>
    </w:p>
    <w:p w14:paraId="0F4CC2B6" w14:textId="77777777" w:rsidR="003C7458" w:rsidRDefault="003C7458" w:rsidP="007A25F6">
      <w:pPr>
        <w:spacing w:line="276" w:lineRule="auto"/>
        <w:jc w:val="both"/>
      </w:pPr>
    </w:p>
    <w:p w14:paraId="0138F64C" w14:textId="2862EA19" w:rsidR="00984AE6" w:rsidRDefault="00753EE7" w:rsidP="007A25F6">
      <w:pPr>
        <w:spacing w:line="276" w:lineRule="auto"/>
        <w:jc w:val="both"/>
      </w:pPr>
      <w:r w:rsidRPr="003C7458">
        <w:rPr>
          <w:b/>
        </w:rPr>
        <w:t>Titre</w:t>
      </w:r>
      <w:r w:rsidR="003C7458">
        <w:rPr>
          <w:b/>
        </w:rPr>
        <w:t> :</w:t>
      </w:r>
      <w:r w:rsidR="005B1329">
        <w:rPr>
          <w:b/>
        </w:rPr>
        <w:t xml:space="preserve"> </w:t>
      </w:r>
      <w:bookmarkStart w:id="0" w:name="_GoBack"/>
      <w:bookmarkEnd w:id="0"/>
      <w:r w:rsidR="00984AE6">
        <w:t>Quelles stratégies familiales face à l’isolement des personnes âgées dépendantes en milieu urbain africain ? Une analyse des dynamiques migratoires internes et internationales à Ouagadougou</w:t>
      </w:r>
      <w:r w:rsidR="000B3696">
        <w:t xml:space="preserve"> à partir d’études de cas</w:t>
      </w:r>
    </w:p>
    <w:p w14:paraId="7D4571B3" w14:textId="77777777" w:rsidR="00211649" w:rsidRDefault="00211649" w:rsidP="007A25F6">
      <w:pPr>
        <w:spacing w:line="276" w:lineRule="auto"/>
        <w:jc w:val="both"/>
      </w:pPr>
    </w:p>
    <w:p w14:paraId="77B8F2C5" w14:textId="537B35A7" w:rsidR="000C2A3B" w:rsidRPr="00A027DF" w:rsidRDefault="00F95966" w:rsidP="007A25F6">
      <w:pPr>
        <w:widowControl w:val="0"/>
        <w:tabs>
          <w:tab w:val="left" w:pos="220"/>
          <w:tab w:val="left" w:pos="720"/>
        </w:tabs>
        <w:autoSpaceDE w:val="0"/>
        <w:autoSpaceDN w:val="0"/>
        <w:adjustRightInd w:val="0"/>
        <w:spacing w:after="240" w:line="276" w:lineRule="auto"/>
        <w:jc w:val="both"/>
        <w:rPr>
          <w:b/>
        </w:rPr>
      </w:pPr>
      <w:r w:rsidRPr="00A027DF">
        <w:rPr>
          <w:b/>
        </w:rPr>
        <w:t>Contexte</w:t>
      </w:r>
      <w:r w:rsidR="00A027DF" w:rsidRPr="00A027DF">
        <w:rPr>
          <w:b/>
        </w:rPr>
        <w:t xml:space="preserve"> et problématique</w:t>
      </w:r>
    </w:p>
    <w:p w14:paraId="2E900188" w14:textId="00576FC9" w:rsidR="00F95966" w:rsidRDefault="00C92976" w:rsidP="007A25F6">
      <w:pPr>
        <w:widowControl w:val="0"/>
        <w:tabs>
          <w:tab w:val="left" w:pos="220"/>
          <w:tab w:val="left" w:pos="720"/>
        </w:tabs>
        <w:autoSpaceDE w:val="0"/>
        <w:autoSpaceDN w:val="0"/>
        <w:adjustRightInd w:val="0"/>
        <w:spacing w:after="240" w:line="276" w:lineRule="auto"/>
        <w:jc w:val="both"/>
      </w:pPr>
      <w:r>
        <w:t>En</w:t>
      </w:r>
      <w:r w:rsidR="0098253E">
        <w:t xml:space="preserve"> Afrique de façon générale et au Burkina Faso en particulier</w:t>
      </w:r>
      <w:r>
        <w:t>, l</w:t>
      </w:r>
      <w:r w:rsidR="0098253E">
        <w:t>es études évoquent les perspectives de croissance de la population âgée, évolution alarmante, non pas tellement en termes de poids démographique de la population âgée</w:t>
      </w:r>
      <w:r w:rsidR="007F7A5F">
        <w:t xml:space="preserve"> à moyen terme</w:t>
      </w:r>
      <w:r w:rsidR="0098253E">
        <w:t xml:space="preserve">, mais </w:t>
      </w:r>
      <w:r w:rsidR="00B3432C">
        <w:t xml:space="preserve">surtout </w:t>
      </w:r>
      <w:r w:rsidR="0098253E">
        <w:t xml:space="preserve">d’effectifs absolus grandissants dans un contexte de quasi-absence de planification d’une prise en charge adéquate </w:t>
      </w:r>
      <w:r w:rsidR="0098253E">
        <w:fldChar w:fldCharType="begin"/>
      </w:r>
      <w:r w:rsidR="00AC78F7">
        <w:instrText xml:space="preserve"> ADDIN EN.CITE &lt;EndNote&gt;&lt;Cite&gt;&lt;Author&gt;Willems&lt;/Author&gt;&lt;Year&gt;2002&lt;/Year&gt;&lt;RecNum&gt;13&lt;/RecNum&gt;&lt;DisplayText&gt;(Willems, 2002)&lt;/DisplayText&gt;&lt;record&gt;&lt;rec-number&gt;13&lt;/rec-number&gt;&lt;foreign-keys&gt;&lt;key app="EN" db-id="dez5s55vgxd52qep5d0paavf2da902d2tarp" timestamp="1493041746"&gt;13&lt;/key&gt;&lt;/foreign-keys&gt;&lt;ref-type name="Journal Article"&gt;17&lt;/ref-type&gt;&lt;contributors&gt;&lt;authors&gt;&lt;author&gt;Willems, Michel&lt;/author&gt;&lt;/authors&gt;&lt;/contributors&gt;&lt;titles&gt;&lt;title&gt;Quel processus de vieillissement pour les pays du Sahel? L&amp;apos;exemple du Burkina Faso&lt;/title&gt;&lt;secondary-title&gt;Gendreau et al.(sous la direction de): Jeunesses, Vieillesses, Démographies et Sociétés, Chaire Quetelet, AUF, Institut de Démographie de l&amp;apos;UCL, Academia/Bruylant, L’Harmattan, Louvain-La-Neuve&lt;/secondary-title&gt;&lt;/titles&gt;&lt;periodical&gt;&lt;full-title&gt;Gendreau et al.(sous la direction de): Jeunesses, Vieillesses, Démographies et Sociétés, Chaire Quetelet, AUF, Institut de Démographie de l&amp;apos;UCL, Academia/Bruylant, L’Harmattan, Louvain-La-Neuve&lt;/full-title&gt;&lt;/periodical&gt;&lt;pages&gt;101-124&lt;/pages&gt;&lt;dates&gt;&lt;year&gt;2002&lt;/year&gt;&lt;/dates&gt;&lt;urls&gt;&lt;/urls&gt;&lt;/record&gt;&lt;/Cite&gt;&lt;/EndNote&gt;</w:instrText>
      </w:r>
      <w:r w:rsidR="0098253E">
        <w:fldChar w:fldCharType="separate"/>
      </w:r>
      <w:r w:rsidR="00AC78F7">
        <w:rPr>
          <w:noProof/>
        </w:rPr>
        <w:t>(Willems, 2002)</w:t>
      </w:r>
      <w:r w:rsidR="0098253E">
        <w:fldChar w:fldCharType="end"/>
      </w:r>
      <w:r w:rsidR="0098253E">
        <w:t xml:space="preserve">. Cette problématique est notamment traitée </w:t>
      </w:r>
      <w:r w:rsidR="007F7A5F">
        <w:t xml:space="preserve">jusqu’à présent </w:t>
      </w:r>
      <w:r w:rsidR="0098253E">
        <w:t>sous l’angle des problèmes de santé de cette population particulièrement vulnérable</w:t>
      </w:r>
      <w:r w:rsidR="00B8330F">
        <w:t xml:space="preserve"> et de l’insuffisance de la réponse apportée par les politiques publiques</w:t>
      </w:r>
      <w:r w:rsidR="0098253E">
        <w:t xml:space="preserve"> </w:t>
      </w:r>
      <w:r w:rsidR="000825BF">
        <w:fldChar w:fldCharType="begin"/>
      </w:r>
      <w:r w:rsidR="000825BF">
        <w:instrText xml:space="preserve"> ADDIN EN.CITE &lt;EndNote&gt;&lt;Cite&gt;&lt;Author&gt;Berthé&lt;/Author&gt;&lt;Year&gt;2013&lt;/Year&gt;&lt;RecNum&gt;3&lt;/RecNum&gt;&lt;DisplayText&gt;(Berthé et al., 2013; Louis, Thomas, Alain, Ali, &amp;amp; Pascal, 2016)&lt;/DisplayText&gt;&lt;record&gt;&lt;rec-number&gt;3&lt;/rec-number&gt;&lt;foreign-keys&gt;&lt;key app="EN" db-id="dez5s55vgxd52qep5d0paavf2da902d2tarp" timestamp="1493041745"&gt;3&lt;/key&gt;&lt;/foreign-keys&gt;&lt;ref-type name="Journal Article"&gt;17&lt;/ref-type&gt;&lt;contributors&gt;&lt;authors&gt;&lt;author&gt;Berthé, Abdramane&lt;/author&gt;&lt;author&gt;Berthé-Sanou, Lalla&lt;/author&gt;&lt;author&gt;Konaté, Blahima&lt;/author&gt;&lt;author&gt;Hien, Hervé&lt;/author&gt;&lt;author&gt;Tou, Fatoumata&lt;/author&gt;&lt;author&gt;Drabo, Maxime&lt;/author&gt;&lt;author&gt;Badini-Kinda, Fatoumata&lt;/author&gt;&lt;author&gt;Macq, Jean&lt;/author&gt;&lt;/authors&gt;&lt;/contributors&gt;&lt;titles&gt;&lt;title&gt;Les personnes âgées en Afrique subsaharienne: une population vulnérable, trop souvent négligée dans les politiques publiques&lt;/title&gt;&lt;secondary-title&gt;Santé Publique&lt;/secondary-title&gt;&lt;/titles&gt;&lt;periodical&gt;&lt;full-title&gt;Santé Publique&lt;/full-title&gt;&lt;/periodical&gt;&lt;pages&gt;367-371&lt;/pages&gt;&lt;volume&gt;25&lt;/volume&gt;&lt;number&gt;3&lt;/number&gt;&lt;dates&gt;&lt;year&gt;2013&lt;/year&gt;&lt;/dates&gt;&lt;isbn&gt;0995-3914&lt;/isbn&gt;&lt;urls&gt;&lt;/urls&gt;&lt;/record&gt;&lt;/Cite&gt;&lt;Cite&gt;&lt;Author&gt;Louis&lt;/Author&gt;&lt;Year&gt;2016&lt;/Year&gt;&lt;RecNum&gt;31&lt;/RecNum&gt;&lt;record&gt;&lt;rec-number&gt;31&lt;/rec-number&gt;&lt;foreign-keys&gt;&lt;key app="EN" db-id="dez5s55vgxd52qep5d0paavf2da902d2tarp" timestamp="1493041750"&gt;31&lt;/key&gt;&lt;/foreign-keys&gt;&lt;ref-type name="Journal Article"&gt;17&lt;/ref-type&gt;&lt;contributors&gt;&lt;authors&gt;&lt;author&gt;Louis, Niamba&lt;/author&gt;&lt;author&gt;Thomas, LeGrand&lt;/author&gt;&lt;author&gt;Alain, Gagnon&lt;/author&gt;&lt;author&gt;Ali, Sié&lt;/author&gt;&lt;author&gt;Pascal, Zabré&lt;/author&gt;&lt;/authors&gt;&lt;/contributors&gt;&lt;titles&gt;&lt;title&gt;Le double fardeau épidémiologique chez les personnes âgées en milieu rural africain: tendances de mortalité et causes de décès à Nouna (Burkina Faso)&lt;/title&gt;&lt;secondary-title&gt;African Population Studies&lt;/secondary-title&gt;&lt;/titles&gt;&lt;periodical&gt;&lt;full-title&gt;African Population Studies&lt;/full-title&gt;&lt;/periodical&gt;&lt;volume&gt;30&lt;/volume&gt;&lt;number&gt;1&lt;/number&gt;&lt;dates&gt;&lt;year&gt;2016&lt;/year&gt;&lt;/dates&gt;&lt;isbn&gt;2308-7854&lt;/isbn&gt;&lt;urls&gt;&lt;/urls&gt;&lt;/record&gt;&lt;/Cite&gt;&lt;/EndNote&gt;</w:instrText>
      </w:r>
      <w:r w:rsidR="000825BF">
        <w:fldChar w:fldCharType="separate"/>
      </w:r>
      <w:r w:rsidR="000825BF">
        <w:rPr>
          <w:noProof/>
        </w:rPr>
        <w:t>(Berthé et al., 2013; Louis, Thomas, Alain, Ali, &amp; Pascal, 2016)</w:t>
      </w:r>
      <w:r w:rsidR="000825BF">
        <w:fldChar w:fldCharType="end"/>
      </w:r>
      <w:r w:rsidR="00B8330F">
        <w:t xml:space="preserve">. En parallèle à cette </w:t>
      </w:r>
      <w:r w:rsidR="007F7A5F">
        <w:t>situation</w:t>
      </w:r>
      <w:r w:rsidR="00B8330F">
        <w:t xml:space="preserve">, la prise en charge des personnes âgées dépendantes pose de plus en plus </w:t>
      </w:r>
      <w:r w:rsidR="007F7A5F">
        <w:t>de questionnements</w:t>
      </w:r>
      <w:r w:rsidR="00B8330F">
        <w:t xml:space="preserve"> dans un contexte où les changements dans les dynamiques familiales sont </w:t>
      </w:r>
      <w:r w:rsidR="00610F23">
        <w:t>notables</w:t>
      </w:r>
      <w:r w:rsidR="008B1C64">
        <w:t xml:space="preserve">. </w:t>
      </w:r>
      <w:r w:rsidR="00770A26">
        <w:t xml:space="preserve">Les </w:t>
      </w:r>
      <w:r w:rsidR="00B8330F">
        <w:t xml:space="preserve">processus d’adaptation des </w:t>
      </w:r>
      <w:r w:rsidR="00770A26">
        <w:t>ménages et familles</w:t>
      </w:r>
      <w:r w:rsidR="00B8330F">
        <w:t xml:space="preserve"> aux crises sociales et économiques </w:t>
      </w:r>
      <w:r w:rsidR="00B8330F">
        <w:fldChar w:fldCharType="begin"/>
      </w:r>
      <w:r w:rsidR="00AC78F7">
        <w:instrText xml:space="preserve"> ADDIN EN.CITE &lt;EndNote&gt;&lt;Cite&gt;&lt;Author&gt;Roth&lt;/Author&gt;&lt;Year&gt;2010&lt;/Year&gt;&lt;RecNum&gt;1&lt;/RecNum&gt;&lt;DisplayText&gt;(Roth, 2010; Rouamba, 2015)&lt;/DisplayText&gt;&lt;record&gt;&lt;rec-number&gt;1&lt;/rec-number&gt;&lt;foreign-keys&gt;&lt;key app="EN" db-id="dez5s55vgxd52qep5d0paavf2da902d2tarp" timestamp="1493041744"&gt;1&lt;/key&gt;&lt;/foreign-keys&gt;&lt;ref-type name="Journal Article"&gt;17&lt;/ref-type&gt;&lt;contributors&gt;&lt;authors&gt;&lt;author&gt;Roth, Claudia&lt;/author&gt;&lt;/authors&gt;&lt;/contributors&gt;&lt;titles&gt;&lt;title&gt;Les relations intergénérationnelles sous pression au Burkina Faso&lt;/title&gt;&lt;secondary-title&gt;Autrepart&lt;/secondary-title&gt;&lt;/titles&gt;&lt;periodical&gt;&lt;full-title&gt;Autrepart&lt;/full-title&gt;&lt;/periodical&gt;&lt;pages&gt;95-110&lt;/pages&gt;&lt;number&gt;1&lt;/number&gt;&lt;dates&gt;&lt;year&gt;2010&lt;/year&gt;&lt;/dates&gt;&lt;isbn&gt;1278-3986&lt;/isbn&gt;&lt;urls&gt;&lt;/urls&gt;&lt;/record&gt;&lt;/Cite&gt;&lt;Cite&gt;&lt;Author&gt;Rouamba&lt;/Author&gt;&lt;Year&gt;2015&lt;/Year&gt;&lt;RecNum&gt;32&lt;/RecNum&gt;&lt;record&gt;&lt;rec-number&gt;32&lt;/rec-number&gt;&lt;foreign-keys&gt;&lt;key app="EN" db-id="dez5s55vgxd52qep5d0paavf2da902d2tarp" timestamp="1493041750"&gt;32&lt;/key&gt;&lt;/foreign-keys&gt;&lt;ref-type name="Thesis"&gt;32&lt;/ref-type&gt;&lt;contributors&gt;&lt;authors&gt;&lt;author&gt;Rouamba, George&lt;/author&gt;&lt;/authors&gt;&lt;/contributors&gt;&lt;titles&gt;&lt;title&gt;«Yaab-rãmba»: une anthropologie du care des personnes vieillissantes à Ouagadougou (Burkina Faso)&lt;/title&gt;&lt;/titles&gt;&lt;dates&gt;&lt;year&gt;2015&lt;/year&gt;&lt;/dates&gt;&lt;publisher&gt;Université de Bordeaux&lt;/publisher&gt;&lt;urls&gt;&lt;/urls&gt;&lt;/record&gt;&lt;/Cite&gt;&lt;/EndNote&gt;</w:instrText>
      </w:r>
      <w:r w:rsidR="00B8330F">
        <w:fldChar w:fldCharType="separate"/>
      </w:r>
      <w:r w:rsidR="00AC78F7">
        <w:rPr>
          <w:noProof/>
        </w:rPr>
        <w:t>(Roth, 2010; Rouamba, 2015)</w:t>
      </w:r>
      <w:r w:rsidR="00B8330F">
        <w:fldChar w:fldCharType="end"/>
      </w:r>
      <w:r w:rsidR="008B1C64">
        <w:t xml:space="preserve"> appellent de nouvelles interrogations sur la place qui est faite aux personnes âgées, notamment celles qui sont dépendantes. </w:t>
      </w:r>
      <w:r w:rsidR="00610F23">
        <w:t xml:space="preserve">Particulièrement au sein de familles </w:t>
      </w:r>
      <w:r w:rsidR="00EF3FB5">
        <w:t>multi-</w:t>
      </w:r>
      <w:r w:rsidR="00610F23">
        <w:t xml:space="preserve">locales, que leurs membres soient établis entre la ville et la campagne ou encore entre le pays d’origine et l’étranger, la dépendance des parents âgés suscite de nouvelles stratégies. </w:t>
      </w:r>
      <w:r w:rsidR="00D51722">
        <w:t>Face à la complexité des situations en présence et aux besoins de connaissances approfondies</w:t>
      </w:r>
      <w:r w:rsidR="00610F23">
        <w:t xml:space="preserve"> pour alimenter les données probantes en la matière</w:t>
      </w:r>
      <w:r w:rsidR="00D51722">
        <w:t>, de nombreux aspects de cette dynamique restent à explorer.</w:t>
      </w:r>
    </w:p>
    <w:p w14:paraId="7EEFF1A6" w14:textId="3403F687" w:rsidR="00F95966" w:rsidRPr="006D0796" w:rsidRDefault="00F95966" w:rsidP="007A25F6">
      <w:pPr>
        <w:widowControl w:val="0"/>
        <w:tabs>
          <w:tab w:val="left" w:pos="220"/>
          <w:tab w:val="left" w:pos="720"/>
        </w:tabs>
        <w:autoSpaceDE w:val="0"/>
        <w:autoSpaceDN w:val="0"/>
        <w:adjustRightInd w:val="0"/>
        <w:spacing w:after="240" w:line="276" w:lineRule="auto"/>
        <w:jc w:val="both"/>
        <w:rPr>
          <w:b/>
        </w:rPr>
      </w:pPr>
      <w:r w:rsidRPr="006D0796">
        <w:rPr>
          <w:b/>
        </w:rPr>
        <w:t>Objectifs</w:t>
      </w:r>
    </w:p>
    <w:p w14:paraId="1B988E50" w14:textId="2DBE2A79" w:rsidR="00E129CE" w:rsidRDefault="00610F23" w:rsidP="007A25F6">
      <w:pPr>
        <w:widowControl w:val="0"/>
        <w:tabs>
          <w:tab w:val="left" w:pos="220"/>
          <w:tab w:val="left" w:pos="720"/>
        </w:tabs>
        <w:autoSpaceDE w:val="0"/>
        <w:autoSpaceDN w:val="0"/>
        <w:adjustRightInd w:val="0"/>
        <w:spacing w:after="240" w:line="276" w:lineRule="auto"/>
        <w:jc w:val="both"/>
      </w:pPr>
      <w:r>
        <w:t>Face à ces questionnements, l’étude vise à analyse</w:t>
      </w:r>
      <w:r w:rsidR="00E129CE">
        <w:t>r</w:t>
      </w:r>
      <w:r>
        <w:t xml:space="preserve">, à partir </w:t>
      </w:r>
      <w:r w:rsidR="00E129CE">
        <w:t xml:space="preserve">de cas issus de données qualitatives, les stratégies </w:t>
      </w:r>
      <w:r w:rsidR="007D47C4">
        <w:t xml:space="preserve">migratoires </w:t>
      </w:r>
      <w:r w:rsidR="00E129CE">
        <w:t>et reconfigurations familiales observées au sein de familles. De façon spécifique, les facteurs liés au genre des personnes âgées, des</w:t>
      </w:r>
      <w:r w:rsidR="00B35926">
        <w:t xml:space="preserve"> acteurs et aidants potentiels ainsi que l</w:t>
      </w:r>
      <w:r w:rsidR="00E129CE">
        <w:t xml:space="preserve">es stratégies mises à l’œuvre (migration de la personne âgée dépendante ou d’un aidant familial, recompositions familiales au lieu d’origine, </w:t>
      </w:r>
      <w:r w:rsidR="004C4215">
        <w:t>etc.</w:t>
      </w:r>
      <w:r w:rsidR="00E129CE">
        <w:t>)</w:t>
      </w:r>
      <w:r w:rsidR="004C4215">
        <w:t xml:space="preserve"> </w:t>
      </w:r>
      <w:r w:rsidR="00E129CE">
        <w:t xml:space="preserve">constituent des pistes d’analyses privilégiées pour comprendre la complexité des dynamiques. </w:t>
      </w:r>
    </w:p>
    <w:p w14:paraId="1BBBF81E" w14:textId="74CED24D" w:rsidR="00F95966" w:rsidRPr="007D47C4" w:rsidRDefault="00F95966" w:rsidP="007D47C4">
      <w:pPr>
        <w:widowControl w:val="0"/>
        <w:tabs>
          <w:tab w:val="left" w:pos="220"/>
          <w:tab w:val="left" w:pos="720"/>
        </w:tabs>
        <w:autoSpaceDE w:val="0"/>
        <w:autoSpaceDN w:val="0"/>
        <w:adjustRightInd w:val="0"/>
        <w:spacing w:after="240" w:line="276" w:lineRule="auto"/>
        <w:jc w:val="both"/>
        <w:rPr>
          <w:b/>
        </w:rPr>
      </w:pPr>
      <w:r w:rsidRPr="00F95966">
        <w:rPr>
          <w:b/>
        </w:rPr>
        <w:t>Méthodologie</w:t>
      </w:r>
    </w:p>
    <w:p w14:paraId="6287EAD0" w14:textId="17123ED0" w:rsidR="002B7CEF" w:rsidRDefault="00F95966" w:rsidP="007A25F6">
      <w:pPr>
        <w:spacing w:line="276" w:lineRule="auto"/>
        <w:jc w:val="both"/>
      </w:pPr>
      <w:r>
        <w:t>L’</w:t>
      </w:r>
      <w:r w:rsidR="00B36196">
        <w:t>étude saisit</w:t>
      </w:r>
      <w:r>
        <w:t xml:space="preserve"> l’op</w:t>
      </w:r>
      <w:r w:rsidR="007D47C4">
        <w:t xml:space="preserve">portunité de données complémentaires recueillies en deux temps. La première partie du corpus est constituée d’une cinquantaine d’entretiens semi-directifs recueillis en 2012 auprès de personnes âgées (majoritairement des femmes) au sein des quartiers de l’Observatoire de Population de Ouagadougou. La seconde partie  est composée </w:t>
      </w:r>
      <w:r w:rsidR="007D47C4">
        <w:lastRenderedPageBreak/>
        <w:t xml:space="preserve">d’une </w:t>
      </w:r>
      <w:r w:rsidR="00317A62">
        <w:t>trentaine</w:t>
      </w:r>
      <w:r w:rsidR="007D47C4">
        <w:t xml:space="preserve"> d’entretiens individuels semi-directifs et de groupes auprès d’hommes et femmes</w:t>
      </w:r>
      <w:r w:rsidR="007D47C4" w:rsidRPr="00FE2A5F">
        <w:t xml:space="preserve"> </w:t>
      </w:r>
      <w:r w:rsidR="007D47C4">
        <w:t>adultes menés au sein</w:t>
      </w:r>
      <w:r w:rsidR="00317A62">
        <w:t xml:space="preserve">, non seulement de quartiers de l’Observatoire de Population de Ouagadougou, mais aussi </w:t>
      </w:r>
      <w:r w:rsidR="007D47C4">
        <w:t xml:space="preserve">dans une </w:t>
      </w:r>
      <w:r w:rsidR="00317A62">
        <w:t xml:space="preserve">petite </w:t>
      </w:r>
      <w:r w:rsidR="007D47C4">
        <w:t>ville (Boussé) identifiée comme ville d’origine de flux importants d’entrants dans ces quartiers, et dans des villages environnants de cette ville.</w:t>
      </w:r>
      <w:r w:rsidR="00317A62">
        <w:t xml:space="preserve"> Cette </w:t>
      </w:r>
      <w:r w:rsidR="0096154C">
        <w:t xml:space="preserve">dernière </w:t>
      </w:r>
      <w:r w:rsidR="00317A62">
        <w:t xml:space="preserve">étude, focalisée sur les liens entre la migration et la santé dans ces zones, </w:t>
      </w:r>
      <w:r w:rsidR="002B7CEF">
        <w:t xml:space="preserve">a permis d’explorer les flux migratoires entre ces différents milieux et d’analyser ceux liés aux questions de santé. </w:t>
      </w:r>
      <w:r w:rsidR="0096154C">
        <w:t xml:space="preserve">Elle a </w:t>
      </w:r>
      <w:r w:rsidR="00A54068">
        <w:t xml:space="preserve">aussi </w:t>
      </w:r>
      <w:r w:rsidR="006810F0">
        <w:t>fourni</w:t>
      </w:r>
      <w:r w:rsidR="00A54068">
        <w:t xml:space="preserve"> des </w:t>
      </w:r>
      <w:r w:rsidR="002B7CEF">
        <w:t xml:space="preserve">informations à propos des migrations liées à la prise en charge des personnes âgées dépendantes. </w:t>
      </w:r>
    </w:p>
    <w:p w14:paraId="4FEBAE16" w14:textId="77777777" w:rsidR="002B7CEF" w:rsidRDefault="002B7CEF" w:rsidP="007A25F6">
      <w:pPr>
        <w:spacing w:line="276" w:lineRule="auto"/>
        <w:jc w:val="both"/>
      </w:pPr>
    </w:p>
    <w:p w14:paraId="4C6631B3" w14:textId="5BD09111" w:rsidR="00F95966" w:rsidRPr="00F95966" w:rsidRDefault="00F95966" w:rsidP="007A25F6">
      <w:pPr>
        <w:widowControl w:val="0"/>
        <w:tabs>
          <w:tab w:val="left" w:pos="220"/>
          <w:tab w:val="left" w:pos="720"/>
        </w:tabs>
        <w:autoSpaceDE w:val="0"/>
        <w:autoSpaceDN w:val="0"/>
        <w:adjustRightInd w:val="0"/>
        <w:spacing w:after="240" w:line="276" w:lineRule="auto"/>
        <w:jc w:val="both"/>
        <w:rPr>
          <w:b/>
        </w:rPr>
      </w:pPr>
      <w:r w:rsidRPr="00F95966">
        <w:rPr>
          <w:b/>
        </w:rPr>
        <w:t>Quelques résultats préliminaires</w:t>
      </w:r>
    </w:p>
    <w:p w14:paraId="5A8B7847" w14:textId="78FD781B" w:rsidR="00A04F48" w:rsidRDefault="005A1BAD" w:rsidP="007A25F6">
      <w:pPr>
        <w:spacing w:line="276" w:lineRule="auto"/>
        <w:jc w:val="both"/>
      </w:pPr>
      <w:r>
        <w:t>Les données montrent comment, dans le contexte du Burkina Faso où les mobilités internes et internationales ne sont pas négligeables, le vieillissement induit des stratégies migratoires spécifiques pour les familles. Notamment entre l’international et le pays d’origine, de même qu’entre la ville et le village (et vice-versa), des recompositions de familles sont utilisées</w:t>
      </w:r>
      <w:r w:rsidR="00054142">
        <w:t>, autant</w:t>
      </w:r>
      <w:r>
        <w:t xml:space="preserve"> pour </w:t>
      </w:r>
      <w:r w:rsidR="007E52ED">
        <w:t>remédier</w:t>
      </w:r>
      <w:r>
        <w:t xml:space="preserve"> à l’isolement des </w:t>
      </w:r>
      <w:r w:rsidR="00F82F4D">
        <w:t>parents âgé</w:t>
      </w:r>
      <w:r>
        <w:t>s</w:t>
      </w:r>
      <w:r w:rsidR="007E52ED">
        <w:t xml:space="preserve"> dépendants</w:t>
      </w:r>
      <w:r w:rsidR="00054142">
        <w:t>,</w:t>
      </w:r>
      <w:r w:rsidR="00054142" w:rsidRPr="00054142">
        <w:t xml:space="preserve"> </w:t>
      </w:r>
      <w:r w:rsidR="00054142">
        <w:t>que par nécessité, pour les  enfants de ces personnes âgées, de se conformer aux normes socioculturelles de leur environnement en matière de devoir filial et de prise en charge des parents âgés par le</w:t>
      </w:r>
      <w:r w:rsidR="003868E3">
        <w:t>ur</w:t>
      </w:r>
      <w:r w:rsidR="00054142">
        <w:t xml:space="preserve">s enfants. Les cas de reconfiguration familiale et de migrations liées à cette problématique analysés à Ouagadougou et Boussé montrent la complexité des situations ainsi que les tensions qui en découlent. Ces tensions indiquent que les solutions mises en œuvre par les familles ne sont pas forcément les meilleures pour un </w:t>
      </w:r>
      <w:r w:rsidR="00235B2F">
        <w:t>mieux-être</w:t>
      </w:r>
      <w:r w:rsidR="00054142">
        <w:t xml:space="preserve"> des personnes âgées, du point de vue de ces dernières. </w:t>
      </w:r>
      <w:r w:rsidR="001348C9">
        <w:t>Ces résultats révèlent, face au besoin de prendre en charge un parent âgé dépendant, l’ampleur des tensions entre le souci des enfants de ce dernier de se conformer à la norme</w:t>
      </w:r>
      <w:r w:rsidR="00CB4982">
        <w:t xml:space="preserve"> sociale</w:t>
      </w:r>
      <w:r w:rsidR="001348C9">
        <w:t xml:space="preserve">, les implications de ces aménagements dans le mode de vie familial autour de ces personnes âgées et enfin, le bien être de ces dernières. </w:t>
      </w:r>
    </w:p>
    <w:p w14:paraId="098DB469" w14:textId="77777777" w:rsidR="00A04F48" w:rsidRDefault="00A04F48" w:rsidP="007A25F6">
      <w:pPr>
        <w:spacing w:line="276" w:lineRule="auto"/>
        <w:jc w:val="both"/>
      </w:pPr>
    </w:p>
    <w:p w14:paraId="7F3734B7" w14:textId="380C1CEF" w:rsidR="00587A3C" w:rsidRDefault="00A04F48" w:rsidP="007A25F6">
      <w:pPr>
        <w:spacing w:line="276" w:lineRule="auto"/>
        <w:jc w:val="both"/>
      </w:pPr>
      <w:r>
        <w:t xml:space="preserve">De même, des paramètres comme les acteurs de ces mouvements, leurs décideurs, l’avis des personnes âgées, leur sexe, leur état de santé et leur degré d’autonomie, les ressources financières des familles et leur réseau social s’avèrent essentiels pour cerner </w:t>
      </w:r>
      <w:r w:rsidR="00151DF2">
        <w:t>les</w:t>
      </w:r>
      <w:r>
        <w:t xml:space="preserve"> mobilités</w:t>
      </w:r>
      <w:r w:rsidR="00151DF2">
        <w:t xml:space="preserve"> et adaptations observées</w:t>
      </w:r>
      <w:r>
        <w:t xml:space="preserve">. </w:t>
      </w:r>
      <w:r w:rsidR="005A1BAD">
        <w:t>En toute logique avec les postures et rôles différents joués par les hommes et femmes âgés au sein des familles, l</w:t>
      </w:r>
      <w:r w:rsidR="00C835D8">
        <w:t>es stratégies d’adaptation se déclinent selon le genre de la (des) personne(s) âgée(s) concernée(s)</w:t>
      </w:r>
      <w:r w:rsidR="00963D23">
        <w:t>.</w:t>
      </w:r>
      <w:r w:rsidR="00C835D8">
        <w:t xml:space="preserve"> </w:t>
      </w:r>
      <w:r w:rsidR="00587A3C">
        <w:t xml:space="preserve">Notamment, </w:t>
      </w:r>
      <w:r w:rsidR="00EF5D4F">
        <w:t>le</w:t>
      </w:r>
      <w:r w:rsidR="00587A3C">
        <w:t xml:space="preserve"> veuvage</w:t>
      </w:r>
      <w:r w:rsidR="00EF5D4F">
        <w:t xml:space="preserve"> des femmes âgées</w:t>
      </w:r>
      <w:r w:rsidR="00587A3C">
        <w:t xml:space="preserve">, imbriqué avec l’installation ou l’aggravation de problèmes de santé, </w:t>
      </w:r>
      <w:r w:rsidR="00C46D71">
        <w:t>semble</w:t>
      </w:r>
      <w:r>
        <w:t xml:space="preserve"> constituer un déclencheur de la mise en œuvre de ces stratégies. </w:t>
      </w:r>
      <w:r w:rsidR="00D45DEB">
        <w:t>La densité</w:t>
      </w:r>
      <w:r w:rsidR="00C02F30">
        <w:t xml:space="preserve"> du réseau social autour d’elles constitue aussi un facteur déterminant dans la prise de décision.</w:t>
      </w:r>
    </w:p>
    <w:p w14:paraId="71AB7ECB" w14:textId="77777777" w:rsidR="00CE5700" w:rsidRDefault="00CE5700" w:rsidP="007A25F6">
      <w:pPr>
        <w:spacing w:line="276" w:lineRule="auto"/>
        <w:jc w:val="both"/>
      </w:pPr>
    </w:p>
    <w:p w14:paraId="027F2D8E" w14:textId="51C3EE70" w:rsidR="00A04F48" w:rsidRDefault="00A04F48" w:rsidP="007A25F6">
      <w:pPr>
        <w:spacing w:line="276" w:lineRule="auto"/>
        <w:jc w:val="both"/>
      </w:pPr>
      <w:r w:rsidRPr="00A04F48">
        <w:rPr>
          <w:i/>
        </w:rPr>
        <w:t>In fine</w:t>
      </w:r>
      <w:r>
        <w:t>, cette</w:t>
      </w:r>
      <w:r w:rsidR="00803656">
        <w:t xml:space="preserve"> analyse</w:t>
      </w:r>
      <w:r w:rsidR="00CE5700">
        <w:t xml:space="preserve"> contribue à la documentation </w:t>
      </w:r>
      <w:r>
        <w:t>fine des dynamiques et reconfigurations familiales induites ou favorisées par le vieillissement et la dépendance des personnes âgées dans un environnement urbain subsaharien.</w:t>
      </w:r>
    </w:p>
    <w:p w14:paraId="7AC1546A" w14:textId="77777777" w:rsidR="00AC320B" w:rsidRDefault="00AC320B" w:rsidP="007A25F6">
      <w:pPr>
        <w:spacing w:line="276" w:lineRule="auto"/>
        <w:jc w:val="both"/>
      </w:pPr>
    </w:p>
    <w:p w14:paraId="27311595" w14:textId="77777777" w:rsidR="000825BF" w:rsidRPr="00AF1D30" w:rsidRDefault="00AC320B" w:rsidP="007A25F6">
      <w:pPr>
        <w:pStyle w:val="EndNoteBibliography"/>
        <w:spacing w:line="276" w:lineRule="auto"/>
        <w:ind w:left="720" w:hanging="720"/>
        <w:rPr>
          <w:noProof/>
          <w:lang w:val="fr-FR"/>
        </w:rPr>
      </w:pPr>
      <w:r>
        <w:lastRenderedPageBreak/>
        <w:fldChar w:fldCharType="begin"/>
      </w:r>
      <w:r w:rsidRPr="00AF1D30">
        <w:rPr>
          <w:lang w:val="fr-FR"/>
        </w:rPr>
        <w:instrText xml:space="preserve"> ADDIN EN.REFLIST </w:instrText>
      </w:r>
      <w:r>
        <w:fldChar w:fldCharType="separate"/>
      </w:r>
      <w:r w:rsidR="000825BF" w:rsidRPr="00AF1D30">
        <w:rPr>
          <w:noProof/>
          <w:lang w:val="fr-FR"/>
        </w:rPr>
        <w:t xml:space="preserve">Berthé, A., Berthé-Sanou, L., Konaté, B., Hien, H., Tou, F., Drabo, M., . . . Macq, J. (2013). Les personnes âgées en Afrique subsaharienne: une population vulnérable, trop souvent négligée dans les politiques publiques. </w:t>
      </w:r>
      <w:r w:rsidR="000825BF" w:rsidRPr="00AF1D30">
        <w:rPr>
          <w:i/>
          <w:noProof/>
          <w:lang w:val="fr-FR"/>
        </w:rPr>
        <w:t>Santé Publique, 25</w:t>
      </w:r>
      <w:r w:rsidR="000825BF" w:rsidRPr="00AF1D30">
        <w:rPr>
          <w:noProof/>
          <w:lang w:val="fr-FR"/>
        </w:rPr>
        <w:t xml:space="preserve">(3), 367-371. </w:t>
      </w:r>
    </w:p>
    <w:p w14:paraId="23087710" w14:textId="77777777" w:rsidR="000825BF" w:rsidRPr="00AF1D30" w:rsidRDefault="000825BF" w:rsidP="007A25F6">
      <w:pPr>
        <w:pStyle w:val="EndNoteBibliography"/>
        <w:spacing w:line="276" w:lineRule="auto"/>
        <w:ind w:left="720" w:hanging="720"/>
        <w:rPr>
          <w:noProof/>
          <w:lang w:val="fr-FR"/>
        </w:rPr>
      </w:pPr>
      <w:r w:rsidRPr="00AF1D30">
        <w:rPr>
          <w:noProof/>
          <w:lang w:val="fr-FR"/>
        </w:rPr>
        <w:t xml:space="preserve">Louis, N., Thomas, L., Alain, G., Ali, S., &amp; Pascal, Z. (2016). Le double fardeau épidémiologique chez les personnes âgées en milieu rural africain: tendances de mortalité et causes de décès à Nouna (Burkina Faso). </w:t>
      </w:r>
      <w:r w:rsidRPr="00AF1D30">
        <w:rPr>
          <w:i/>
          <w:noProof/>
          <w:lang w:val="fr-FR"/>
        </w:rPr>
        <w:t>African Population Studies, 30</w:t>
      </w:r>
      <w:r w:rsidRPr="00AF1D30">
        <w:rPr>
          <w:noProof/>
          <w:lang w:val="fr-FR"/>
        </w:rPr>
        <w:t xml:space="preserve">(1). </w:t>
      </w:r>
    </w:p>
    <w:p w14:paraId="03219F48" w14:textId="77777777" w:rsidR="000825BF" w:rsidRPr="00AF1D30" w:rsidRDefault="000825BF" w:rsidP="007A25F6">
      <w:pPr>
        <w:pStyle w:val="EndNoteBibliography"/>
        <w:spacing w:line="276" w:lineRule="auto"/>
        <w:ind w:left="720" w:hanging="720"/>
        <w:rPr>
          <w:noProof/>
          <w:lang w:val="fr-FR"/>
        </w:rPr>
      </w:pPr>
      <w:r w:rsidRPr="00AF1D30">
        <w:rPr>
          <w:noProof/>
          <w:lang w:val="fr-FR"/>
        </w:rPr>
        <w:t xml:space="preserve">Roth, C. (2010). Les relations intergénérationnelles sous pression au Burkina Faso. </w:t>
      </w:r>
      <w:r w:rsidRPr="00AF1D30">
        <w:rPr>
          <w:i/>
          <w:noProof/>
          <w:lang w:val="fr-FR"/>
        </w:rPr>
        <w:t>Autrepart</w:t>
      </w:r>
      <w:r w:rsidRPr="00AF1D30">
        <w:rPr>
          <w:noProof/>
          <w:lang w:val="fr-FR"/>
        </w:rPr>
        <w:t xml:space="preserve">(1), 95-110. </w:t>
      </w:r>
    </w:p>
    <w:p w14:paraId="5688E999" w14:textId="77777777" w:rsidR="000825BF" w:rsidRPr="00AF1D30" w:rsidRDefault="000825BF" w:rsidP="007A25F6">
      <w:pPr>
        <w:pStyle w:val="EndNoteBibliography"/>
        <w:spacing w:line="276" w:lineRule="auto"/>
        <w:ind w:left="720" w:hanging="720"/>
        <w:rPr>
          <w:noProof/>
          <w:lang w:val="fr-FR"/>
        </w:rPr>
      </w:pPr>
      <w:r w:rsidRPr="00AF1D30">
        <w:rPr>
          <w:noProof/>
          <w:lang w:val="fr-FR"/>
        </w:rPr>
        <w:t xml:space="preserve">Rouamba, G. (2015). </w:t>
      </w:r>
      <w:r w:rsidRPr="00AF1D30">
        <w:rPr>
          <w:i/>
          <w:noProof/>
          <w:lang w:val="fr-FR"/>
        </w:rPr>
        <w:t>«Yaab-rãmba»: une anthropologie du care des personnes vieillissantes à Ouagadougou (Burkina Faso).</w:t>
      </w:r>
      <w:r w:rsidRPr="00AF1D30">
        <w:rPr>
          <w:noProof/>
          <w:lang w:val="fr-FR"/>
        </w:rPr>
        <w:t xml:space="preserve"> Université de Bordeaux.   </w:t>
      </w:r>
    </w:p>
    <w:p w14:paraId="12BC7195" w14:textId="77777777" w:rsidR="000825BF" w:rsidRPr="00AF1D30" w:rsidRDefault="000825BF" w:rsidP="007A25F6">
      <w:pPr>
        <w:pStyle w:val="EndNoteBibliography"/>
        <w:spacing w:line="276" w:lineRule="auto"/>
        <w:ind w:left="720" w:hanging="720"/>
        <w:rPr>
          <w:noProof/>
          <w:lang w:val="fr-FR"/>
        </w:rPr>
      </w:pPr>
      <w:r w:rsidRPr="00AF1D30">
        <w:rPr>
          <w:noProof/>
          <w:lang w:val="fr-FR"/>
        </w:rPr>
        <w:t xml:space="preserve">Willems, M. (2002). Quel processus de vieillissement pour les pays du Sahel? L'exemple du Burkina Faso. </w:t>
      </w:r>
      <w:r w:rsidRPr="00AF1D30">
        <w:rPr>
          <w:i/>
          <w:noProof/>
          <w:lang w:val="fr-FR"/>
        </w:rPr>
        <w:t>Gendreau et al.(sous la direction de): Jeunesses, Vieillesses, Démographies et Sociétés, Chaire Quetelet, AUF, Institut de Démographie de l'UCL, Academia/Bruylant, L’Harmattan, Louvain-La-Neuve</w:t>
      </w:r>
      <w:r w:rsidRPr="00AF1D30">
        <w:rPr>
          <w:noProof/>
          <w:lang w:val="fr-FR"/>
        </w:rPr>
        <w:t xml:space="preserve">, 101-124. </w:t>
      </w:r>
    </w:p>
    <w:p w14:paraId="105FEDD1" w14:textId="668A89C9" w:rsidR="00C835D8" w:rsidRDefault="00AC320B" w:rsidP="007A25F6">
      <w:pPr>
        <w:spacing w:line="276" w:lineRule="auto"/>
      </w:pPr>
      <w:r>
        <w:fldChar w:fldCharType="end"/>
      </w:r>
    </w:p>
    <w:p w14:paraId="55FD6B26" w14:textId="77777777" w:rsidR="00B53FC5" w:rsidRDefault="00B53FC5" w:rsidP="007A25F6">
      <w:pPr>
        <w:spacing w:line="276" w:lineRule="auto"/>
      </w:pPr>
    </w:p>
    <w:p w14:paraId="760467F1" w14:textId="77777777" w:rsidR="00B53FC5" w:rsidRDefault="00B53FC5" w:rsidP="007A25F6">
      <w:pPr>
        <w:spacing w:line="276" w:lineRule="auto"/>
      </w:pPr>
    </w:p>
    <w:p w14:paraId="22149245" w14:textId="77777777" w:rsidR="00B53FC5" w:rsidRDefault="00B53FC5" w:rsidP="007A25F6">
      <w:pPr>
        <w:spacing w:line="276" w:lineRule="auto"/>
      </w:pPr>
    </w:p>
    <w:p w14:paraId="0A3C3584" w14:textId="2677D40E" w:rsidR="00B53FC5" w:rsidRDefault="00B53FC5" w:rsidP="007A25F6">
      <w:pPr>
        <w:spacing w:line="276" w:lineRule="auto"/>
      </w:pPr>
    </w:p>
    <w:sectPr w:rsidR="00B53FC5" w:rsidSect="0002409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D32B" w14:textId="77777777" w:rsidR="00C45A97" w:rsidRDefault="00C45A97" w:rsidP="00235D69">
      <w:r>
        <w:separator/>
      </w:r>
    </w:p>
  </w:endnote>
  <w:endnote w:type="continuationSeparator" w:id="0">
    <w:p w14:paraId="06D894F6" w14:textId="77777777" w:rsidR="00C45A97" w:rsidRDefault="00C45A97" w:rsidP="0023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AC71" w14:textId="77777777" w:rsidR="00235D69" w:rsidRDefault="00235D69" w:rsidP="00D06ED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CA357B" w14:textId="77777777" w:rsidR="00235D69" w:rsidRDefault="00235D69" w:rsidP="00235D6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0399" w14:textId="77777777" w:rsidR="00235D69" w:rsidRDefault="00235D69" w:rsidP="00D06ED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1329">
      <w:rPr>
        <w:rStyle w:val="Numrodepage"/>
        <w:noProof/>
      </w:rPr>
      <w:t>1</w:t>
    </w:r>
    <w:r>
      <w:rPr>
        <w:rStyle w:val="Numrodepage"/>
      </w:rPr>
      <w:fldChar w:fldCharType="end"/>
    </w:r>
  </w:p>
  <w:p w14:paraId="20741602" w14:textId="77777777" w:rsidR="00235D69" w:rsidRDefault="00235D69" w:rsidP="00235D6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66422" w14:textId="77777777" w:rsidR="00C45A97" w:rsidRDefault="00C45A97" w:rsidP="00235D69">
      <w:r>
        <w:separator/>
      </w:r>
    </w:p>
  </w:footnote>
  <w:footnote w:type="continuationSeparator" w:id="0">
    <w:p w14:paraId="30063716" w14:textId="77777777" w:rsidR="00C45A97" w:rsidRDefault="00C45A97" w:rsidP="00235D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8229E30"/>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51114C"/>
    <w:multiLevelType w:val="hybridMultilevel"/>
    <w:tmpl w:val="471082AA"/>
    <w:lvl w:ilvl="0" w:tplc="857A24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z5s55vgxd52qep5d0paavf2da902d2tarp&quot;&gt;Vieillissement au Burkina Faso et en Afrique&lt;record-ids&gt;&lt;item&gt;1&lt;/item&gt;&lt;item&gt;3&lt;/item&gt;&lt;item&gt;13&lt;/item&gt;&lt;item&gt;31&lt;/item&gt;&lt;item&gt;32&lt;/item&gt;&lt;/record-ids&gt;&lt;/item&gt;&lt;/Libraries&gt;"/>
  </w:docVars>
  <w:rsids>
    <w:rsidRoot w:val="00583681"/>
    <w:rsid w:val="00011FA0"/>
    <w:rsid w:val="00015B55"/>
    <w:rsid w:val="00016418"/>
    <w:rsid w:val="00024099"/>
    <w:rsid w:val="0002675D"/>
    <w:rsid w:val="000310D8"/>
    <w:rsid w:val="00032D5E"/>
    <w:rsid w:val="000362A5"/>
    <w:rsid w:val="00040E63"/>
    <w:rsid w:val="000533E4"/>
    <w:rsid w:val="00054142"/>
    <w:rsid w:val="000825BF"/>
    <w:rsid w:val="00082610"/>
    <w:rsid w:val="000B0100"/>
    <w:rsid w:val="000B3696"/>
    <w:rsid w:val="000C2A3B"/>
    <w:rsid w:val="001207A5"/>
    <w:rsid w:val="001348C9"/>
    <w:rsid w:val="00151DF2"/>
    <w:rsid w:val="00175010"/>
    <w:rsid w:val="001A4E31"/>
    <w:rsid w:val="001A5593"/>
    <w:rsid w:val="001C66A8"/>
    <w:rsid w:val="001D086E"/>
    <w:rsid w:val="001D3515"/>
    <w:rsid w:val="001E6A12"/>
    <w:rsid w:val="00201365"/>
    <w:rsid w:val="00202E62"/>
    <w:rsid w:val="00211649"/>
    <w:rsid w:val="00235B2F"/>
    <w:rsid w:val="00235D69"/>
    <w:rsid w:val="002424B1"/>
    <w:rsid w:val="00250F8B"/>
    <w:rsid w:val="00281960"/>
    <w:rsid w:val="002962DE"/>
    <w:rsid w:val="002A1151"/>
    <w:rsid w:val="002B25DC"/>
    <w:rsid w:val="002B46BA"/>
    <w:rsid w:val="002B7CEF"/>
    <w:rsid w:val="002E2CEE"/>
    <w:rsid w:val="002F439E"/>
    <w:rsid w:val="00317A62"/>
    <w:rsid w:val="003364BA"/>
    <w:rsid w:val="0033710A"/>
    <w:rsid w:val="0034233F"/>
    <w:rsid w:val="00356BFE"/>
    <w:rsid w:val="003764B8"/>
    <w:rsid w:val="003803AE"/>
    <w:rsid w:val="0038168D"/>
    <w:rsid w:val="00381E67"/>
    <w:rsid w:val="003868E3"/>
    <w:rsid w:val="003A53AF"/>
    <w:rsid w:val="003B6899"/>
    <w:rsid w:val="003C7458"/>
    <w:rsid w:val="003E143E"/>
    <w:rsid w:val="003E7EFD"/>
    <w:rsid w:val="003F76C4"/>
    <w:rsid w:val="00402AEC"/>
    <w:rsid w:val="00407B23"/>
    <w:rsid w:val="00414BE9"/>
    <w:rsid w:val="00420703"/>
    <w:rsid w:val="00421B2D"/>
    <w:rsid w:val="00484752"/>
    <w:rsid w:val="004C0116"/>
    <w:rsid w:val="004C4215"/>
    <w:rsid w:val="004C67E4"/>
    <w:rsid w:val="004F18B9"/>
    <w:rsid w:val="004F5943"/>
    <w:rsid w:val="00516F36"/>
    <w:rsid w:val="00526773"/>
    <w:rsid w:val="00583681"/>
    <w:rsid w:val="00583802"/>
    <w:rsid w:val="00587A3C"/>
    <w:rsid w:val="0059590E"/>
    <w:rsid w:val="005A1BAD"/>
    <w:rsid w:val="005B1329"/>
    <w:rsid w:val="005C081A"/>
    <w:rsid w:val="005C5E32"/>
    <w:rsid w:val="005D78DD"/>
    <w:rsid w:val="006024F6"/>
    <w:rsid w:val="00610F23"/>
    <w:rsid w:val="00655DC0"/>
    <w:rsid w:val="006810F0"/>
    <w:rsid w:val="006B3207"/>
    <w:rsid w:val="006C5548"/>
    <w:rsid w:val="006D0796"/>
    <w:rsid w:val="006D14DE"/>
    <w:rsid w:val="006E0EE0"/>
    <w:rsid w:val="006F058E"/>
    <w:rsid w:val="006F1194"/>
    <w:rsid w:val="006F7646"/>
    <w:rsid w:val="006F7CF2"/>
    <w:rsid w:val="00734CEA"/>
    <w:rsid w:val="007407DD"/>
    <w:rsid w:val="00747059"/>
    <w:rsid w:val="00752654"/>
    <w:rsid w:val="00753EE7"/>
    <w:rsid w:val="007622C0"/>
    <w:rsid w:val="00770A26"/>
    <w:rsid w:val="00787FEF"/>
    <w:rsid w:val="007A25F6"/>
    <w:rsid w:val="007D47C4"/>
    <w:rsid w:val="007D60C9"/>
    <w:rsid w:val="007D7BBD"/>
    <w:rsid w:val="007E3C65"/>
    <w:rsid w:val="007E52ED"/>
    <w:rsid w:val="007F7A5F"/>
    <w:rsid w:val="00803656"/>
    <w:rsid w:val="00843CE4"/>
    <w:rsid w:val="008752FA"/>
    <w:rsid w:val="00882B53"/>
    <w:rsid w:val="008B1C64"/>
    <w:rsid w:val="008C1D96"/>
    <w:rsid w:val="008D164B"/>
    <w:rsid w:val="008E0A75"/>
    <w:rsid w:val="008E14BD"/>
    <w:rsid w:val="00914771"/>
    <w:rsid w:val="009319A2"/>
    <w:rsid w:val="0096154C"/>
    <w:rsid w:val="00963D23"/>
    <w:rsid w:val="0098253E"/>
    <w:rsid w:val="00984AE6"/>
    <w:rsid w:val="009A5452"/>
    <w:rsid w:val="009A79C5"/>
    <w:rsid w:val="009D4282"/>
    <w:rsid w:val="009F2BB7"/>
    <w:rsid w:val="009F3251"/>
    <w:rsid w:val="00A027DF"/>
    <w:rsid w:val="00A04F48"/>
    <w:rsid w:val="00A166BE"/>
    <w:rsid w:val="00A232F9"/>
    <w:rsid w:val="00A35952"/>
    <w:rsid w:val="00A37D44"/>
    <w:rsid w:val="00A45317"/>
    <w:rsid w:val="00A5317F"/>
    <w:rsid w:val="00A54068"/>
    <w:rsid w:val="00A6345C"/>
    <w:rsid w:val="00A80CA0"/>
    <w:rsid w:val="00AC320B"/>
    <w:rsid w:val="00AC47E5"/>
    <w:rsid w:val="00AC78F7"/>
    <w:rsid w:val="00AD3F4F"/>
    <w:rsid w:val="00AD6DB0"/>
    <w:rsid w:val="00AF1D30"/>
    <w:rsid w:val="00AF301A"/>
    <w:rsid w:val="00AF3B78"/>
    <w:rsid w:val="00B041DF"/>
    <w:rsid w:val="00B3432C"/>
    <w:rsid w:val="00B35926"/>
    <w:rsid w:val="00B36196"/>
    <w:rsid w:val="00B5295E"/>
    <w:rsid w:val="00B53FC5"/>
    <w:rsid w:val="00B55E56"/>
    <w:rsid w:val="00B565A0"/>
    <w:rsid w:val="00B70E89"/>
    <w:rsid w:val="00B7121A"/>
    <w:rsid w:val="00B7414E"/>
    <w:rsid w:val="00B8330F"/>
    <w:rsid w:val="00BB7B9F"/>
    <w:rsid w:val="00BE70FB"/>
    <w:rsid w:val="00BF1919"/>
    <w:rsid w:val="00C02F30"/>
    <w:rsid w:val="00C45A97"/>
    <w:rsid w:val="00C46D71"/>
    <w:rsid w:val="00C835D8"/>
    <w:rsid w:val="00C92976"/>
    <w:rsid w:val="00C954B9"/>
    <w:rsid w:val="00CB4982"/>
    <w:rsid w:val="00CB6838"/>
    <w:rsid w:val="00CD018D"/>
    <w:rsid w:val="00CE2060"/>
    <w:rsid w:val="00CE364C"/>
    <w:rsid w:val="00CE5700"/>
    <w:rsid w:val="00D038A0"/>
    <w:rsid w:val="00D140B1"/>
    <w:rsid w:val="00D179C5"/>
    <w:rsid w:val="00D32A3A"/>
    <w:rsid w:val="00D41C8E"/>
    <w:rsid w:val="00D45DEB"/>
    <w:rsid w:val="00D51722"/>
    <w:rsid w:val="00DB69E1"/>
    <w:rsid w:val="00DC0443"/>
    <w:rsid w:val="00DE6960"/>
    <w:rsid w:val="00E129CE"/>
    <w:rsid w:val="00E1618C"/>
    <w:rsid w:val="00E24A56"/>
    <w:rsid w:val="00EF3FB5"/>
    <w:rsid w:val="00EF5D4F"/>
    <w:rsid w:val="00F817CF"/>
    <w:rsid w:val="00F82F4D"/>
    <w:rsid w:val="00F86E7E"/>
    <w:rsid w:val="00F95966"/>
    <w:rsid w:val="00FA5D72"/>
    <w:rsid w:val="00FA7F58"/>
    <w:rsid w:val="00FD7757"/>
    <w:rsid w:val="00FE2A5F"/>
    <w:rsid w:val="00FF105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1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364BA"/>
    <w:pPr>
      <w:ind w:left="720"/>
      <w:contextualSpacing/>
    </w:pPr>
  </w:style>
  <w:style w:type="paragraph" w:customStyle="1" w:styleId="EndNoteBibliographyTitle">
    <w:name w:val="EndNote Bibliography Title"/>
    <w:basedOn w:val="Normal"/>
    <w:rsid w:val="00AC320B"/>
    <w:pPr>
      <w:jc w:val="center"/>
    </w:pPr>
    <w:rPr>
      <w:rFonts w:ascii="Calibri" w:hAnsi="Calibri"/>
      <w:lang w:val="en-US"/>
    </w:rPr>
  </w:style>
  <w:style w:type="paragraph" w:customStyle="1" w:styleId="EndNoteBibliography">
    <w:name w:val="EndNote Bibliography"/>
    <w:basedOn w:val="Normal"/>
    <w:rsid w:val="00AC320B"/>
    <w:pPr>
      <w:jc w:val="both"/>
    </w:pPr>
    <w:rPr>
      <w:rFonts w:ascii="Calibri" w:hAnsi="Calibri"/>
      <w:lang w:val="en-US"/>
    </w:rPr>
  </w:style>
  <w:style w:type="paragraph" w:styleId="Pieddepage">
    <w:name w:val="footer"/>
    <w:basedOn w:val="Normal"/>
    <w:link w:val="PieddepageCar"/>
    <w:uiPriority w:val="99"/>
    <w:unhideWhenUsed/>
    <w:rsid w:val="00235D69"/>
    <w:pPr>
      <w:tabs>
        <w:tab w:val="center" w:pos="4536"/>
        <w:tab w:val="right" w:pos="9072"/>
      </w:tabs>
    </w:pPr>
  </w:style>
  <w:style w:type="character" w:customStyle="1" w:styleId="PieddepageCar">
    <w:name w:val="Pied de page Car"/>
    <w:basedOn w:val="Policepardfaut"/>
    <w:link w:val="Pieddepage"/>
    <w:uiPriority w:val="99"/>
    <w:rsid w:val="00235D69"/>
  </w:style>
  <w:style w:type="character" w:styleId="Numrodepage">
    <w:name w:val="page number"/>
    <w:basedOn w:val="Policepardfaut"/>
    <w:uiPriority w:val="99"/>
    <w:semiHidden/>
    <w:unhideWhenUsed/>
    <w:rsid w:val="00235D69"/>
  </w:style>
  <w:style w:type="character" w:styleId="Marquedecommentaire">
    <w:name w:val="annotation reference"/>
    <w:basedOn w:val="Policepardfaut"/>
    <w:uiPriority w:val="99"/>
    <w:semiHidden/>
    <w:unhideWhenUsed/>
    <w:rsid w:val="00250F8B"/>
    <w:rPr>
      <w:sz w:val="16"/>
      <w:szCs w:val="16"/>
    </w:rPr>
  </w:style>
  <w:style w:type="paragraph" w:styleId="Commentaire">
    <w:name w:val="annotation text"/>
    <w:basedOn w:val="Normal"/>
    <w:link w:val="CommentaireCar"/>
    <w:uiPriority w:val="99"/>
    <w:semiHidden/>
    <w:unhideWhenUsed/>
    <w:rsid w:val="00250F8B"/>
    <w:rPr>
      <w:sz w:val="20"/>
      <w:szCs w:val="20"/>
    </w:rPr>
  </w:style>
  <w:style w:type="character" w:customStyle="1" w:styleId="CommentaireCar">
    <w:name w:val="Commentaire Car"/>
    <w:basedOn w:val="Policepardfaut"/>
    <w:link w:val="Commentaire"/>
    <w:uiPriority w:val="99"/>
    <w:semiHidden/>
    <w:rsid w:val="00250F8B"/>
    <w:rPr>
      <w:sz w:val="20"/>
      <w:szCs w:val="20"/>
    </w:rPr>
  </w:style>
  <w:style w:type="paragraph" w:styleId="Objetducommentaire">
    <w:name w:val="annotation subject"/>
    <w:basedOn w:val="Commentaire"/>
    <w:next w:val="Commentaire"/>
    <w:link w:val="ObjetducommentaireCar"/>
    <w:uiPriority w:val="99"/>
    <w:semiHidden/>
    <w:unhideWhenUsed/>
    <w:rsid w:val="00250F8B"/>
    <w:rPr>
      <w:b/>
      <w:bCs/>
    </w:rPr>
  </w:style>
  <w:style w:type="character" w:customStyle="1" w:styleId="ObjetducommentaireCar">
    <w:name w:val="Objet du commentaire Car"/>
    <w:basedOn w:val="CommentaireCar"/>
    <w:link w:val="Objetducommentaire"/>
    <w:uiPriority w:val="99"/>
    <w:semiHidden/>
    <w:rsid w:val="00250F8B"/>
    <w:rPr>
      <w:b/>
      <w:bCs/>
      <w:sz w:val="20"/>
      <w:szCs w:val="20"/>
    </w:rPr>
  </w:style>
  <w:style w:type="paragraph" w:styleId="Textedebulles">
    <w:name w:val="Balloon Text"/>
    <w:basedOn w:val="Normal"/>
    <w:link w:val="TextedebullesCar"/>
    <w:uiPriority w:val="99"/>
    <w:semiHidden/>
    <w:unhideWhenUsed/>
    <w:rsid w:val="00250F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1757</Words>
  <Characters>9668</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Sawadogo</dc:creator>
  <cp:keywords/>
  <dc:description/>
  <cp:lastModifiedBy>Nathalie Sawadogo</cp:lastModifiedBy>
  <cp:revision>16</cp:revision>
  <dcterms:created xsi:type="dcterms:W3CDTF">2017-09-29T14:50:00Z</dcterms:created>
  <dcterms:modified xsi:type="dcterms:W3CDTF">2017-09-30T15:33:00Z</dcterms:modified>
</cp:coreProperties>
</file>