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1BF" w:rsidRPr="00AE0904" w:rsidRDefault="00BC61BF" w:rsidP="00A15738">
      <w:pPr>
        <w:jc w:val="center"/>
        <w:rPr>
          <w:sz w:val="22"/>
          <w:szCs w:val="22"/>
          <w:lang w:val="fr-CA"/>
        </w:rPr>
      </w:pPr>
      <w:r w:rsidRPr="00AE0904">
        <w:rPr>
          <w:b/>
          <w:sz w:val="22"/>
          <w:szCs w:val="22"/>
          <w:lang w:val="fr-CA"/>
        </w:rPr>
        <w:t>L</w:t>
      </w:r>
      <w:r>
        <w:rPr>
          <w:b/>
          <w:sz w:val="22"/>
          <w:szCs w:val="22"/>
          <w:lang w:val="fr-CA"/>
        </w:rPr>
        <w:t>’évolution d</w:t>
      </w:r>
      <w:r w:rsidRPr="00AE0904">
        <w:rPr>
          <w:b/>
          <w:sz w:val="22"/>
          <w:szCs w:val="22"/>
          <w:lang w:val="fr-CA"/>
        </w:rPr>
        <w:t xml:space="preserve">es modes de résidence des personnes âgées de 85 ans et plus </w:t>
      </w:r>
      <w:r>
        <w:rPr>
          <w:b/>
          <w:sz w:val="22"/>
          <w:szCs w:val="22"/>
          <w:lang w:val="fr-CA"/>
        </w:rPr>
        <w:t>depuis</w:t>
      </w:r>
      <w:r w:rsidRPr="00AE0904">
        <w:rPr>
          <w:b/>
          <w:sz w:val="22"/>
          <w:szCs w:val="22"/>
          <w:lang w:val="fr-CA"/>
        </w:rPr>
        <w:t> </w:t>
      </w:r>
      <w:r>
        <w:rPr>
          <w:b/>
          <w:sz w:val="22"/>
          <w:szCs w:val="22"/>
          <w:lang w:val="fr-CA"/>
        </w:rPr>
        <w:t>1991</w:t>
      </w:r>
      <w:r w:rsidRPr="00AE0904">
        <w:rPr>
          <w:b/>
          <w:sz w:val="22"/>
          <w:szCs w:val="22"/>
          <w:lang w:val="fr-CA"/>
        </w:rPr>
        <w:t>en Grèce</w:t>
      </w:r>
      <w:r>
        <w:rPr>
          <w:b/>
          <w:sz w:val="22"/>
          <w:szCs w:val="22"/>
          <w:lang w:val="fr-CA"/>
        </w:rPr>
        <w:t xml:space="preserve">  </w:t>
      </w:r>
    </w:p>
    <w:p w:rsidR="00BC61BF" w:rsidRPr="00AE0904" w:rsidRDefault="00BC61BF" w:rsidP="00A15738">
      <w:pPr>
        <w:jc w:val="center"/>
        <w:rPr>
          <w:sz w:val="22"/>
          <w:szCs w:val="22"/>
          <w:lang w:val="fr-CA"/>
        </w:rPr>
      </w:pPr>
      <w:r w:rsidRPr="00AE0904">
        <w:rPr>
          <w:sz w:val="22"/>
          <w:szCs w:val="22"/>
          <w:lang w:val="fr-CA"/>
        </w:rPr>
        <w:t>Byron Kotzamanis, Marie-Noelle Duquenne, Stamatina Kaklamani</w:t>
      </w:r>
    </w:p>
    <w:p w:rsidR="00BC61BF" w:rsidRPr="00AE0904" w:rsidRDefault="00BC61BF" w:rsidP="00A15738">
      <w:pPr>
        <w:jc w:val="both"/>
        <w:rPr>
          <w:sz w:val="22"/>
          <w:szCs w:val="22"/>
          <w:lang w:val="fr-CA"/>
        </w:rPr>
      </w:pPr>
    </w:p>
    <w:p w:rsidR="00BC61BF" w:rsidRPr="00AE0904" w:rsidRDefault="00BC61BF" w:rsidP="00A15738">
      <w:pPr>
        <w:jc w:val="both"/>
        <w:rPr>
          <w:sz w:val="22"/>
          <w:szCs w:val="22"/>
          <w:lang w:val="fr-CA"/>
        </w:rPr>
      </w:pPr>
      <w:r w:rsidRPr="00AE0904">
        <w:rPr>
          <w:sz w:val="22"/>
          <w:szCs w:val="22"/>
          <w:lang w:val="fr-CA"/>
        </w:rPr>
        <w:t>Tout comme dans la majorité des pays de l’Union Européenne, la Grèce est confrontée à un processus rapide de vieillissement. Les personnes âgées de 65 ans et plus représentent en 2011 près de 19,3% de la population contre 13,8% en 1991. Plus encore, si le nombre de personnes âgées a augmenté d’environ 50% au cours des deux dernières décennies (les effectifs passant de 1,4 à 2,1 millions), le grand vieillissement (85 ans et plus) a quant à lui presque doublé durant la même période (122.000 à 228.000). Ces évolutions, soulèvent –entre autres- avec une acuité particulière la question de l’autonomie résidentielle aux grands âges. En effet, si la cohabitation multi générationnelle reste encore en 2011, un mode de résidence fortement ancré dans la société grecque, la part des &gt;85 ans vivant seuls ou en couple a fortement progressé entre 1991 et 2011 (comme partout en Europe). Plus encore, ces évolutions reflètent une certaine uniformisation territoriale des modes de vie.</w:t>
      </w:r>
    </w:p>
    <w:p w:rsidR="00BC61BF" w:rsidRPr="00AE0904" w:rsidRDefault="00BC61BF" w:rsidP="00A15738">
      <w:pPr>
        <w:jc w:val="both"/>
        <w:rPr>
          <w:sz w:val="22"/>
          <w:szCs w:val="22"/>
          <w:lang w:val="fr-CA"/>
        </w:rPr>
      </w:pPr>
    </w:p>
    <w:p w:rsidR="00BC61BF" w:rsidRPr="00AE0904" w:rsidRDefault="00BC61BF" w:rsidP="00A15738">
      <w:pPr>
        <w:jc w:val="both"/>
        <w:rPr>
          <w:sz w:val="22"/>
          <w:szCs w:val="22"/>
          <w:lang w:val="fr-CA"/>
        </w:rPr>
      </w:pPr>
      <w:r w:rsidRPr="00AE0904">
        <w:rPr>
          <w:sz w:val="22"/>
          <w:szCs w:val="22"/>
          <w:lang w:val="fr-CA"/>
        </w:rPr>
        <w:t>L’objectif du présent travail est donc, après avoir mis en exergue les disparités spatiales en matière d’évolution du vieillissement et du grand vieillissement aux recensements de 1991 et de 2011, de détecter et analyser les principales mutations entre ces deux dates, en matière de modes de résidence des personnes de plus de 85 ans et ce, tant au niveau national qu’infrarégional (départements). Il s’agit en particulier : a) d’examiner les changements au niveau des situations résidentielles des personnes très âgées entre 1991 et 2011 selon le sexe et de faire émerger les disparités départementales encore existantes et b) de détecter si les modes de résidence de ce groupe en Grèce diffèrent de ceux des autres pays de l’Europe du Sud.</w:t>
      </w:r>
    </w:p>
    <w:p w:rsidR="00BC61BF" w:rsidRPr="00AE0904" w:rsidRDefault="00BC61BF" w:rsidP="00A15738">
      <w:pPr>
        <w:jc w:val="both"/>
        <w:rPr>
          <w:sz w:val="22"/>
          <w:szCs w:val="22"/>
          <w:lang w:val="fr-CA"/>
        </w:rPr>
      </w:pPr>
    </w:p>
    <w:p w:rsidR="00BC61BF" w:rsidRPr="00AE0904" w:rsidRDefault="00BC61BF" w:rsidP="00A15738">
      <w:pPr>
        <w:jc w:val="both"/>
        <w:rPr>
          <w:sz w:val="22"/>
          <w:szCs w:val="22"/>
          <w:lang w:val="fr-CA"/>
        </w:rPr>
      </w:pPr>
      <w:r w:rsidRPr="00AE0904">
        <w:rPr>
          <w:sz w:val="22"/>
          <w:szCs w:val="22"/>
          <w:lang w:val="fr-CA"/>
        </w:rPr>
        <w:t>L’étude repose sur les données croisées par sexe et âge ainsi que par modes de résidence (seul, en couple, avec des proches, en institution) telles que découlant des résultats des deux recensements de 1991 et 2011. Il aurait été certainement plus opportun de prendre pour date de référence, l’année 1981 mais les données produites lors de ce recensement ne concernent que la population de facto, ce qui pose effectivement un problème de comparabilité avec les résultats de 2011 qui eux, ont trait à la population résidente. L’échelle spatiale retenue est celle des départements (Nomes) correspondant selon la nomenclature d’Eurostat aux unités territoriales NUTS 3. Au-delà du traitement statistique des données permettant de mettre en évidence les principales tendances nationales et infranationales, la présente étude repose également sur un traitement cartographique systématique des indicateurs permettant d’évaluer l’évolution du poids relatif des divers modes de résidence des personnes très âgées (telle la part des personnes de 85 ans et plus selon le mode de résidence ainsi que l’évolution selon ce mode).</w:t>
      </w:r>
    </w:p>
    <w:p w:rsidR="00BC61BF" w:rsidRPr="00AE0904" w:rsidRDefault="00BC61BF" w:rsidP="00A15738">
      <w:pPr>
        <w:jc w:val="both"/>
        <w:rPr>
          <w:sz w:val="22"/>
          <w:szCs w:val="22"/>
          <w:lang w:val="fr-CA"/>
        </w:rPr>
      </w:pPr>
    </w:p>
    <w:p w:rsidR="00BC61BF" w:rsidRPr="00AE0904" w:rsidRDefault="00BC61BF" w:rsidP="00A15738">
      <w:pPr>
        <w:jc w:val="both"/>
        <w:rPr>
          <w:sz w:val="22"/>
          <w:szCs w:val="22"/>
          <w:lang w:val="fr-CA"/>
        </w:rPr>
      </w:pPr>
      <w:r w:rsidRPr="00AE0904">
        <w:rPr>
          <w:sz w:val="22"/>
          <w:szCs w:val="22"/>
          <w:lang w:val="fr-CA"/>
        </w:rPr>
        <w:t>En effet, vue les importantes mutations démographiques que connait la Grèce au cours des 35 dernières années - mutations en partie accentuée par la récession actuelle-, il est important d’établir un état des lieux en matière de grand vieillissement et d’évolution des modes de résidences des 85 ans et plus avant l’émergence de la crise. Cette crise, aura très probablement des conséquences sur les modes de résidence des personnes très âgées (ralentissement de la progression de la part de ceux qui vivent seuls ou en couple, voir même légère hausse de la part de ceux cohabitant avec des proches), ce qui pourrait inverser les tendances antérieures telles que mises en évidence dans le présent travail. Toutefois, les données disponibles à ce jour ne nous permettent pas de confirmer cette hypothèse qui reste à examiner après la publication des résultats du prochain recensement de population prévu pour 2021.</w:t>
      </w:r>
    </w:p>
    <w:p w:rsidR="00BC61BF" w:rsidRPr="00AE0904" w:rsidRDefault="00BC61BF" w:rsidP="00A15738">
      <w:pPr>
        <w:jc w:val="both"/>
        <w:rPr>
          <w:sz w:val="22"/>
          <w:szCs w:val="22"/>
          <w:lang w:val="fr-CA"/>
        </w:rPr>
      </w:pPr>
    </w:p>
    <w:p w:rsidR="00BC61BF" w:rsidRDefault="00BC61BF" w:rsidP="000D21AB">
      <w:pPr>
        <w:jc w:val="both"/>
        <w:rPr>
          <w:sz w:val="22"/>
          <w:szCs w:val="22"/>
          <w:lang w:val="fr-CA"/>
        </w:rPr>
      </w:pPr>
      <w:r w:rsidRPr="00AE0904">
        <w:rPr>
          <w:sz w:val="22"/>
          <w:szCs w:val="22"/>
          <w:lang w:val="fr-CA"/>
        </w:rPr>
        <w:t xml:space="preserve">Mots-clés : Grand vieillissement, autonomie résidentielle, disparités régionales, Grèce, Europe du sud. </w:t>
      </w:r>
    </w:p>
    <w:p w:rsidR="00BC61BF" w:rsidRPr="003428E3" w:rsidRDefault="00BC61BF" w:rsidP="003428E3">
      <w:pPr>
        <w:spacing w:after="120"/>
        <w:rPr>
          <w:b/>
          <w:sz w:val="22"/>
          <w:szCs w:val="22"/>
          <w:lang w:val="fr-CA"/>
        </w:rPr>
      </w:pPr>
      <w:r>
        <w:rPr>
          <w:sz w:val="22"/>
          <w:szCs w:val="22"/>
          <w:lang w:val="fr-CA"/>
        </w:rPr>
        <w:br w:type="page"/>
      </w:r>
      <w:r w:rsidRPr="003428E3">
        <w:rPr>
          <w:b/>
          <w:sz w:val="22"/>
          <w:szCs w:val="22"/>
          <w:lang w:val="fr-CA"/>
        </w:rPr>
        <w:t>B IBLIO</w:t>
      </w:r>
      <w:r>
        <w:rPr>
          <w:b/>
          <w:sz w:val="22"/>
          <w:szCs w:val="22"/>
          <w:lang w:val="fr-CA"/>
        </w:rPr>
        <w:t xml:space="preserve"> SOMMAIRE</w:t>
      </w:r>
    </w:p>
    <w:p w:rsidR="00BC61BF" w:rsidRDefault="00BC61BF" w:rsidP="003428E3">
      <w:pPr>
        <w:spacing w:after="120"/>
        <w:rPr>
          <w:lang w:val="fr-CA" w:eastAsia="en-US"/>
        </w:rPr>
      </w:pPr>
      <w:r>
        <w:rPr>
          <w:lang w:val="fr-CA"/>
        </w:rPr>
        <w:t xml:space="preserve">Christel V. (2006) Trajectoires résidentielles des personnes âgées, </w:t>
      </w:r>
      <w:r>
        <w:rPr>
          <w:i/>
          <w:lang w:val="fr-CA"/>
        </w:rPr>
        <w:t>Données sociales - la Société Française</w:t>
      </w:r>
      <w:r>
        <w:rPr>
          <w:lang w:val="fr-CA"/>
        </w:rPr>
        <w:t>, INSEE références, ch. 6, p.525-529.</w:t>
      </w:r>
    </w:p>
    <w:p w:rsidR="00BC61BF" w:rsidRDefault="00BC61BF" w:rsidP="003428E3">
      <w:pPr>
        <w:spacing w:after="120"/>
        <w:jc w:val="both"/>
        <w:rPr>
          <w:lang w:val="en-US" w:eastAsia="el-GR"/>
        </w:rPr>
      </w:pPr>
      <w:r>
        <w:rPr>
          <w:lang w:val="fr-CA" w:eastAsia="el-GR"/>
        </w:rPr>
        <w:t xml:space="preserve">Gaymu J., Delbe C., Springer S., Binet A., Desesquelles A., Kalogirou S., Ziegler U. (2006). </w:t>
      </w:r>
      <w:r>
        <w:rPr>
          <w:lang w:val="en-US" w:eastAsia="el-GR"/>
        </w:rPr>
        <w:t xml:space="preserve">Determinants of the living arrangements of older people in Europe, European </w:t>
      </w:r>
      <w:r>
        <w:rPr>
          <w:i/>
          <w:lang w:val="en-US" w:eastAsia="el-GR"/>
        </w:rPr>
        <w:t>Journal of Population</w:t>
      </w:r>
      <w:r>
        <w:rPr>
          <w:lang w:val="en-US" w:eastAsia="el-GR"/>
        </w:rPr>
        <w:t>, Vol 22, Issue 3, p. 241-262.</w:t>
      </w:r>
    </w:p>
    <w:p w:rsidR="00BC61BF" w:rsidRPr="003428E3" w:rsidRDefault="00BC61BF" w:rsidP="003428E3">
      <w:pPr>
        <w:spacing w:after="120"/>
        <w:jc w:val="both"/>
        <w:rPr>
          <w:lang w:eastAsia="en-US"/>
        </w:rPr>
      </w:pPr>
      <w:r>
        <w:t xml:space="preserve">Kotzamanis, B (2005) Le vieillissement démographique en Grèce in: B. Kotzamanis (ed.) </w:t>
      </w:r>
      <w:r>
        <w:rPr>
          <w:i/>
        </w:rPr>
        <w:t>le défi démographique, faits et enjeux</w:t>
      </w:r>
      <w:r>
        <w:t xml:space="preserve">, LADS – Presses Universitaires de Thessalie, Volos (en grec). </w:t>
      </w:r>
    </w:p>
    <w:p w:rsidR="00BC61BF" w:rsidRDefault="00BC61BF" w:rsidP="003428E3">
      <w:pPr>
        <w:spacing w:after="120"/>
        <w:jc w:val="both"/>
        <w:rPr>
          <w:lang w:val="en-US" w:eastAsia="el-GR"/>
        </w:rPr>
      </w:pPr>
      <w:r>
        <w:rPr>
          <w:lang w:val="en-US" w:eastAsia="el-GR"/>
        </w:rPr>
        <w:t>Lowenstein A., Ogg J. (eds), (2003). OASIS: Old Age and Autonomy: the role of Service Systems and Intergenerational Family Solidarity, University of Haifa, Israel, ISBN: 965-90602-0-3</w:t>
      </w:r>
    </w:p>
    <w:p w:rsidR="00BC61BF" w:rsidRDefault="00BC61BF" w:rsidP="003428E3">
      <w:pPr>
        <w:spacing w:after="120"/>
        <w:jc w:val="both"/>
        <w:rPr>
          <w:lang w:val="fr-CA" w:eastAsia="el-GR"/>
        </w:rPr>
      </w:pPr>
      <w:r>
        <w:rPr>
          <w:lang w:val="fr-CA" w:eastAsia="el-GR"/>
        </w:rPr>
        <w:t xml:space="preserve">Ogg J., Renaut S. (2005). Le soutien familial intergénérationnel dans l’Europe Élargie. </w:t>
      </w:r>
      <w:r>
        <w:rPr>
          <w:i/>
          <w:lang w:val="fr-CA" w:eastAsia="el-GR"/>
        </w:rPr>
        <w:t>Retraite et Société</w:t>
      </w:r>
      <w:r>
        <w:rPr>
          <w:lang w:val="fr-CA" w:eastAsia="el-GR"/>
        </w:rPr>
        <w:t>, Vol 46, No 5, p.30-57.</w:t>
      </w:r>
    </w:p>
    <w:p w:rsidR="00BC61BF" w:rsidRDefault="00BC61BF" w:rsidP="003428E3">
      <w:pPr>
        <w:spacing w:after="120"/>
        <w:jc w:val="both"/>
        <w:rPr>
          <w:lang w:val="fr-CA" w:eastAsia="el-GR"/>
        </w:rPr>
      </w:pPr>
      <w:r>
        <w:rPr>
          <w:bCs/>
          <w:lang w:val="fr-CA"/>
        </w:rPr>
        <w:t xml:space="preserve">Ogg J., Renaut S., Trabut L. (2015). La corésidence familiale entre générations adultes : un soutien réciproque, </w:t>
      </w:r>
      <w:r>
        <w:rPr>
          <w:i/>
          <w:lang w:val="fr-CA" w:eastAsia="el-GR"/>
        </w:rPr>
        <w:t>Retraite et Société</w:t>
      </w:r>
      <w:r>
        <w:rPr>
          <w:lang w:val="fr-CA" w:eastAsia="el-GR"/>
        </w:rPr>
        <w:t>, Vol 70, No 1, p.105-125.</w:t>
      </w:r>
    </w:p>
    <w:p w:rsidR="00BC61BF" w:rsidRPr="003428E3" w:rsidRDefault="00BC61BF" w:rsidP="003428E3">
      <w:pPr>
        <w:autoSpaceDE w:val="0"/>
        <w:autoSpaceDN w:val="0"/>
        <w:adjustRightInd w:val="0"/>
        <w:spacing w:after="120"/>
        <w:jc w:val="both"/>
        <w:rPr>
          <w:lang w:val="fr-CA" w:eastAsia="en-US"/>
        </w:rPr>
      </w:pPr>
      <w:r>
        <w:rPr>
          <w:bCs/>
          <w:lang w:val="fr-CA"/>
        </w:rPr>
        <w:t xml:space="preserve">Renaut S., Ogg J. (2003). </w:t>
      </w:r>
      <w:r>
        <w:rPr>
          <w:lang w:val="fr-CA"/>
        </w:rPr>
        <w:t xml:space="preserve">Vivre à domicile après 75 ans : une comparaison entre l’Angleterre et la France, </w:t>
      </w:r>
      <w:r>
        <w:rPr>
          <w:i/>
          <w:lang w:val="fr-CA"/>
        </w:rPr>
        <w:t>Retraite et Société</w:t>
      </w:r>
      <w:r>
        <w:rPr>
          <w:lang w:val="fr-CA"/>
        </w:rPr>
        <w:t>, n° 38, La Documentation française, Paris, p. 174-195.</w:t>
      </w:r>
    </w:p>
    <w:p w:rsidR="00BC61BF" w:rsidRDefault="00BC61BF" w:rsidP="003428E3">
      <w:pPr>
        <w:autoSpaceDE w:val="0"/>
        <w:autoSpaceDN w:val="0"/>
        <w:adjustRightInd w:val="0"/>
        <w:spacing w:after="120"/>
        <w:jc w:val="both"/>
        <w:rPr>
          <w:lang w:val="fr-CA" w:eastAsia="el-GR"/>
        </w:rPr>
      </w:pPr>
      <w:r>
        <w:rPr>
          <w:lang w:val="fr-CA"/>
        </w:rPr>
        <w:t xml:space="preserve">Trabut  L., Gaymu J. (2016). Habiter seul ou avec des proches après 85 ans en France : de fortes disparités selon les départements, </w:t>
      </w:r>
      <w:r>
        <w:rPr>
          <w:i/>
          <w:lang w:val="fr-CA"/>
        </w:rPr>
        <w:t>Population &amp; Sociétés</w:t>
      </w:r>
      <w:r>
        <w:rPr>
          <w:lang w:val="fr-CA"/>
        </w:rPr>
        <w:t>, No 539, décembre, Paris : INED</w:t>
      </w:r>
    </w:p>
    <w:p w:rsidR="00BC61BF" w:rsidRPr="00AE0904" w:rsidRDefault="00BC61BF" w:rsidP="000D21AB">
      <w:pPr>
        <w:jc w:val="both"/>
        <w:rPr>
          <w:sz w:val="22"/>
          <w:szCs w:val="22"/>
          <w:lang w:val="fr-CA"/>
        </w:rPr>
      </w:pPr>
    </w:p>
    <w:sectPr w:rsidR="00BC61BF" w:rsidRPr="00AE0904" w:rsidSect="00C320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12DA"/>
    <w:rsid w:val="000026BA"/>
    <w:rsid w:val="00074A79"/>
    <w:rsid w:val="000D21AB"/>
    <w:rsid w:val="000F235F"/>
    <w:rsid w:val="00105EDE"/>
    <w:rsid w:val="00125E16"/>
    <w:rsid w:val="00140663"/>
    <w:rsid w:val="00165C05"/>
    <w:rsid w:val="001A68C4"/>
    <w:rsid w:val="001D21B0"/>
    <w:rsid w:val="00222257"/>
    <w:rsid w:val="0022744F"/>
    <w:rsid w:val="00254EFB"/>
    <w:rsid w:val="002A4B08"/>
    <w:rsid w:val="002E7572"/>
    <w:rsid w:val="00336D93"/>
    <w:rsid w:val="003428E3"/>
    <w:rsid w:val="003D36B9"/>
    <w:rsid w:val="00430BE9"/>
    <w:rsid w:val="00437571"/>
    <w:rsid w:val="004D3924"/>
    <w:rsid w:val="00501D00"/>
    <w:rsid w:val="0052444D"/>
    <w:rsid w:val="005420D8"/>
    <w:rsid w:val="0057790C"/>
    <w:rsid w:val="006728F7"/>
    <w:rsid w:val="00687D48"/>
    <w:rsid w:val="007050E9"/>
    <w:rsid w:val="00722F82"/>
    <w:rsid w:val="007A4A5C"/>
    <w:rsid w:val="00881151"/>
    <w:rsid w:val="00974973"/>
    <w:rsid w:val="00977134"/>
    <w:rsid w:val="00997319"/>
    <w:rsid w:val="009A265D"/>
    <w:rsid w:val="00A15738"/>
    <w:rsid w:val="00A84007"/>
    <w:rsid w:val="00AE0904"/>
    <w:rsid w:val="00AF5D8E"/>
    <w:rsid w:val="00BC61BF"/>
    <w:rsid w:val="00C050E7"/>
    <w:rsid w:val="00C32078"/>
    <w:rsid w:val="00C442F0"/>
    <w:rsid w:val="00CC46FF"/>
    <w:rsid w:val="00D13AB3"/>
    <w:rsid w:val="00D812DA"/>
    <w:rsid w:val="00DA3E54"/>
    <w:rsid w:val="00E720D4"/>
    <w:rsid w:val="00EB2AC9"/>
    <w:rsid w:val="00EE5C73"/>
    <w:rsid w:val="00F51D93"/>
    <w:rsid w:val="00F6664D"/>
    <w:rsid w:val="00FD76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BA2E45AA-3013-4DB7-A6D2-535F9C367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2DA"/>
    <w:pPr>
      <w:spacing w:after="0" w:line="240" w:lineRule="auto"/>
    </w:pPr>
    <w:rPr>
      <w:sz w:val="20"/>
      <w:szCs w:val="20"/>
      <w:lang w:val="fr-FR" w:eastAsia="fr-FR"/>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074A7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74A79"/>
    <w:rPr>
      <w:rFonts w:ascii="Segoe UI" w:hAnsi="Segoe UI"/>
      <w:sz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50583">
      <w:marLeft w:val="0"/>
      <w:marRight w:val="0"/>
      <w:marTop w:val="0"/>
      <w:marBottom w:val="0"/>
      <w:divBdr>
        <w:top w:val="none" w:sz="0" w:space="0" w:color="auto"/>
        <w:left w:val="none" w:sz="0" w:space="0" w:color="auto"/>
        <w:bottom w:val="none" w:sz="0" w:space="0" w:color="auto"/>
        <w:right w:val="none" w:sz="0" w:space="0" w:color="auto"/>
      </w:divBdr>
    </w:div>
    <w:div w:id="87850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848</Words>
  <Characters>4585</Characters>
  <Application>Microsoft Office Word</Application>
  <DocSecurity>0</DocSecurity>
  <Lines>38</Lines>
  <Paragraphs>10</Paragraphs>
  <ScaleCrop>false</ScaleCrop>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Byron</cp:lastModifiedBy>
  <cp:revision>2</cp:revision>
  <cp:lastPrinted>2017-09-19T16:47:00Z</cp:lastPrinted>
  <dcterms:created xsi:type="dcterms:W3CDTF">2017-09-24T11:57:00Z</dcterms:created>
  <dcterms:modified xsi:type="dcterms:W3CDTF">2017-09-24T11:57:00Z</dcterms:modified>
</cp:coreProperties>
</file>