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D5293" w14:textId="77777777" w:rsidR="00FB1ED3" w:rsidRDefault="00FB1ED3" w:rsidP="00E258CB">
      <w:r>
        <w:t xml:space="preserve">Résumé à soumettre pour </w:t>
      </w:r>
      <w:r w:rsidR="00294550">
        <w:t>le XXe Colloque international de l’AIDELF</w:t>
      </w:r>
      <w:r w:rsidRPr="00683E08">
        <w:rPr>
          <w:i/>
        </w:rPr>
        <w:t xml:space="preserve">, </w:t>
      </w:r>
      <w:r w:rsidR="00294550">
        <w:rPr>
          <w:i/>
        </w:rPr>
        <w:t xml:space="preserve">28-31 août </w:t>
      </w:r>
      <w:r w:rsidRPr="00683E08">
        <w:rPr>
          <w:i/>
        </w:rPr>
        <w:t>2018</w:t>
      </w:r>
      <w:r w:rsidR="00683E08">
        <w:t xml:space="preserve"> « </w:t>
      </w:r>
      <w:r w:rsidR="00294550">
        <w:t>Comment Vieillissons-nous</w:t>
      </w:r>
      <w:r w:rsidR="00683E08">
        <w:t> »</w:t>
      </w:r>
    </w:p>
    <w:p w14:paraId="4C75B1FC" w14:textId="77777777" w:rsidR="00FB1ED3" w:rsidRDefault="00FB1ED3" w:rsidP="00E258CB">
      <w:r>
        <w:t xml:space="preserve">Julien Charlier, Marc </w:t>
      </w:r>
      <w:proofErr w:type="spellStart"/>
      <w:r>
        <w:t>Debuisson</w:t>
      </w:r>
      <w:proofErr w:type="spellEnd"/>
      <w:r>
        <w:t>, Isabelle Reginster</w:t>
      </w:r>
    </w:p>
    <w:p w14:paraId="5A39FDF1" w14:textId="77777777" w:rsidR="00FB1ED3" w:rsidRDefault="00FB1ED3" w:rsidP="00E258CB">
      <w:r>
        <w:t>IWEPS Institut wallon de l’Evaluation, de la Prospective et de la Statistique</w:t>
      </w:r>
      <w:r w:rsidR="00F45F20">
        <w:t>, Namur-Belgique</w:t>
      </w:r>
    </w:p>
    <w:p w14:paraId="7DCFE7E1" w14:textId="1C3A4E40" w:rsidR="00FB1ED3" w:rsidRPr="00FB1ED3" w:rsidRDefault="00BA7C4A" w:rsidP="00E258CB">
      <w:pPr>
        <w:rPr>
          <w:b/>
        </w:rPr>
      </w:pPr>
      <w:r>
        <w:rPr>
          <w:b/>
        </w:rPr>
        <w:t>S</w:t>
      </w:r>
      <w:r w:rsidRPr="00E258CB">
        <w:rPr>
          <w:b/>
        </w:rPr>
        <w:t xml:space="preserve">tabilité résidentielle </w:t>
      </w:r>
      <w:r>
        <w:rPr>
          <w:b/>
        </w:rPr>
        <w:t>des populations âgées selon les lieux de vie en Wallonie</w:t>
      </w:r>
    </w:p>
    <w:p w14:paraId="2BFFA112" w14:textId="26C2DDAC" w:rsidR="00036DC4" w:rsidRDefault="00842C0A" w:rsidP="00384879">
      <w:pPr>
        <w:jc w:val="both"/>
      </w:pPr>
      <w:r>
        <w:t xml:space="preserve">Une </w:t>
      </w:r>
      <w:r w:rsidR="00683E08">
        <w:t xml:space="preserve">manière </w:t>
      </w:r>
      <w:r w:rsidR="009943BB">
        <w:t xml:space="preserve">originale </w:t>
      </w:r>
      <w:r w:rsidR="00683E08">
        <w:t>d’</w:t>
      </w:r>
      <w:r w:rsidR="00F45F20">
        <w:t>étudier</w:t>
      </w:r>
      <w:r w:rsidR="00683E08">
        <w:t xml:space="preserve"> </w:t>
      </w:r>
      <w:r w:rsidR="00294550">
        <w:t>le vieillissement</w:t>
      </w:r>
      <w:r w:rsidR="00683E08">
        <w:t xml:space="preserve"> est de </w:t>
      </w:r>
      <w:r w:rsidR="00F45F20">
        <w:t xml:space="preserve">l’aborder par </w:t>
      </w:r>
      <w:r w:rsidR="009943BB">
        <w:t>la recherche de</w:t>
      </w:r>
      <w:r w:rsidR="00683E08">
        <w:t xml:space="preserve"> facteurs de</w:t>
      </w:r>
      <w:r>
        <w:t xml:space="preserve"> </w:t>
      </w:r>
      <w:r w:rsidR="00F45F20">
        <w:t xml:space="preserve">la </w:t>
      </w:r>
      <w:r>
        <w:t xml:space="preserve">stabilité </w:t>
      </w:r>
      <w:r w:rsidR="00E258CB">
        <w:t>résidentielle</w:t>
      </w:r>
      <w:r w:rsidR="00F45F20">
        <w:t>, en cherchant à comprendre pourquoi certains ne migrent pas</w:t>
      </w:r>
      <w:r w:rsidR="009943BB">
        <w:t xml:space="preserve"> </w:t>
      </w:r>
      <w:r w:rsidR="00A966D6">
        <w:t>et</w:t>
      </w:r>
      <w:r w:rsidR="009943BB">
        <w:t xml:space="preserve"> reste </w:t>
      </w:r>
      <w:r w:rsidR="007F684B">
        <w:t>plus longtemps dans leur lieu de vie</w:t>
      </w:r>
      <w:r w:rsidR="009943BB">
        <w:t>.</w:t>
      </w:r>
      <w:r w:rsidR="00384879">
        <w:t xml:space="preserve"> </w:t>
      </w:r>
      <w:r w:rsidR="00036DC4">
        <w:t>Notre contribution s’inscrit dans le cadre d’une analyse des populations domiciliées dans les localités urbaines</w:t>
      </w:r>
      <w:r w:rsidR="00AB6582">
        <w:t xml:space="preserve">, </w:t>
      </w:r>
      <w:r w:rsidR="00036DC4">
        <w:t>périurbaines</w:t>
      </w:r>
      <w:r w:rsidR="00AB6582">
        <w:t xml:space="preserve"> et rurales</w:t>
      </w:r>
      <w:r w:rsidR="004F2637">
        <w:t xml:space="preserve"> wallonnes</w:t>
      </w:r>
      <w:r w:rsidR="00036DC4">
        <w:t xml:space="preserve">, dans une perspective axée sur le territoire plutôt que sur un suivi individuel. </w:t>
      </w:r>
      <w:r w:rsidR="00A966D6">
        <w:t>Elle</w:t>
      </w:r>
      <w:r w:rsidR="00036DC4">
        <w:t xml:space="preserve"> se focalise sur les populations de</w:t>
      </w:r>
      <w:r w:rsidR="00AD02F4">
        <w:t xml:space="preserve"> différents</w:t>
      </w:r>
      <w:r w:rsidR="00294550">
        <w:t xml:space="preserve"> </w:t>
      </w:r>
      <w:r w:rsidR="00036DC4">
        <w:t xml:space="preserve">groupes d’âges </w:t>
      </w:r>
      <w:r w:rsidR="00AD02F4">
        <w:t>au-delà de 60 ans selon leur type de ménages privés</w:t>
      </w:r>
      <w:r w:rsidR="00DA1D64">
        <w:t xml:space="preserve">. Les personnes âgées présentes dans les ménages collectifs </w:t>
      </w:r>
      <w:r w:rsidR="000D36E1">
        <w:t>(maisons de repos)</w:t>
      </w:r>
      <w:r w:rsidR="00DA1D64">
        <w:t xml:space="preserve"> seront également </w:t>
      </w:r>
      <w:r w:rsidR="00531933">
        <w:t>étudiées</w:t>
      </w:r>
      <w:r w:rsidR="00036DC4">
        <w:t>.</w:t>
      </w:r>
    </w:p>
    <w:p w14:paraId="08D2EC9C" w14:textId="14A97262" w:rsidR="006D18E3" w:rsidRDefault="00FB1ED3" w:rsidP="00384879">
      <w:pPr>
        <w:jc w:val="both"/>
      </w:pPr>
      <w:r>
        <w:t>A partir des do</w:t>
      </w:r>
      <w:r w:rsidR="00683E08">
        <w:t xml:space="preserve">nnées </w:t>
      </w:r>
      <w:r w:rsidR="000D36E1">
        <w:t xml:space="preserve">individuelles </w:t>
      </w:r>
      <w:r w:rsidR="00683E08">
        <w:t>du Registre National</w:t>
      </w:r>
      <w:r w:rsidR="0000028B">
        <w:t>,</w:t>
      </w:r>
      <w:r>
        <w:t xml:space="preserve"> </w:t>
      </w:r>
      <w:r w:rsidR="00842C0A">
        <w:t>la source authentique de données sur les personnes physiques</w:t>
      </w:r>
      <w:r w:rsidR="00683E08">
        <w:t xml:space="preserve"> en Belgique</w:t>
      </w:r>
      <w:r>
        <w:t>, un indicateur de stabilité résidentiel</w:t>
      </w:r>
      <w:r w:rsidR="0000028B">
        <w:t>le</w:t>
      </w:r>
      <w:r>
        <w:t xml:space="preserve"> est construit au niveau </w:t>
      </w:r>
      <w:r w:rsidR="004F2637">
        <w:t xml:space="preserve">infra-communal </w:t>
      </w:r>
      <w:r w:rsidR="00B55469">
        <w:t>pour les territoires de</w:t>
      </w:r>
      <w:r w:rsidR="000D36E1">
        <w:t xml:space="preserve"> </w:t>
      </w:r>
      <w:r w:rsidR="00AB6582">
        <w:t>différents types de communes</w:t>
      </w:r>
      <w:r w:rsidR="007F684B">
        <w:t xml:space="preserve"> </w:t>
      </w:r>
      <w:r w:rsidR="00B55469">
        <w:t>wallonnes</w:t>
      </w:r>
      <w:r>
        <w:t>. Il mesure, de 20</w:t>
      </w:r>
      <w:r w:rsidR="004F2637">
        <w:t>1</w:t>
      </w:r>
      <w:r>
        <w:t>1 à 201</w:t>
      </w:r>
      <w:r w:rsidR="004F2637">
        <w:t>5</w:t>
      </w:r>
      <w:r>
        <w:t>, la p</w:t>
      </w:r>
      <w:r w:rsidRPr="00325CFA">
        <w:t>art de population</w:t>
      </w:r>
      <w:r w:rsidR="00036DC4">
        <w:t>,</w:t>
      </w:r>
      <w:r w:rsidRPr="00325CFA">
        <w:t xml:space="preserve"> </w:t>
      </w:r>
      <w:r w:rsidR="00036DC4">
        <w:t xml:space="preserve">par groupe d’âge, </w:t>
      </w:r>
      <w:r w:rsidRPr="00325CFA">
        <w:t xml:space="preserve">qui est restée au sein </w:t>
      </w:r>
      <w:r w:rsidR="00683E08">
        <w:t xml:space="preserve">de son </w:t>
      </w:r>
      <w:r w:rsidR="002C783B">
        <w:t>quartier</w:t>
      </w:r>
      <w:r w:rsidRPr="00325CFA">
        <w:t xml:space="preserve"> </w:t>
      </w:r>
      <w:r w:rsidR="00842C0A">
        <w:t>durant</w:t>
      </w:r>
      <w:r>
        <w:t xml:space="preserve"> cette période de 4 ans. </w:t>
      </w:r>
      <w:r w:rsidR="009943BB">
        <w:t>La cartographie de cet indicateur montre une diversité de situation</w:t>
      </w:r>
      <w:r w:rsidR="00036DC4">
        <w:t>, tant au niveau des groupes que</w:t>
      </w:r>
      <w:r w:rsidR="009943BB">
        <w:t xml:space="preserve"> pour les différentes </w:t>
      </w:r>
      <w:r w:rsidR="00AB6582">
        <w:t>communes</w:t>
      </w:r>
      <w:r w:rsidR="002679FE">
        <w:t xml:space="preserve"> et quartiers</w:t>
      </w:r>
      <w:r w:rsidR="009943BB">
        <w:t>.</w:t>
      </w:r>
      <w:r w:rsidR="002679FE">
        <w:t xml:space="preserve"> Elle mett</w:t>
      </w:r>
      <w:r w:rsidR="009A0054">
        <w:t>ra notamment en évidence les territoires où cette stabilité est la plus forte.</w:t>
      </w:r>
      <w:r w:rsidR="00036DC4">
        <w:t xml:space="preserve"> </w:t>
      </w:r>
      <w:r w:rsidR="00BA7C4A">
        <w:t xml:space="preserve">A côté de choix individuels qu’il est difficile d’approcher par les bases de données disponibles, la stabilité résidentielle peut sans doute s’expliquer aussi par des facteurs liés au lieu de vie. </w:t>
      </w:r>
      <w:r w:rsidR="00A966D6">
        <w:t xml:space="preserve">L’analyse propose </w:t>
      </w:r>
      <w:r w:rsidR="00BA7C4A">
        <w:t xml:space="preserve">donc </w:t>
      </w:r>
      <w:r w:rsidR="00683E08">
        <w:t>de t</w:t>
      </w:r>
      <w:r w:rsidR="00E258CB">
        <w:t>ester l’influence de</w:t>
      </w:r>
      <w:r w:rsidR="00BA7C4A">
        <w:t xml:space="preserve"> certains d’entre eux</w:t>
      </w:r>
      <w:r w:rsidR="00E258CB">
        <w:t xml:space="preserve"> </w:t>
      </w:r>
      <w:r w:rsidR="00B87B9A">
        <w:t>dont par exemple</w:t>
      </w:r>
      <w:r w:rsidR="00036DC4">
        <w:t xml:space="preserve"> l’offre en logement </w:t>
      </w:r>
      <w:r w:rsidR="007F684B">
        <w:t>spécifique aux populations âgées</w:t>
      </w:r>
      <w:r w:rsidR="00BA7C4A">
        <w:t xml:space="preserve"> mais aussi locatif</w:t>
      </w:r>
      <w:r w:rsidR="00036DC4">
        <w:t>,</w:t>
      </w:r>
      <w:r w:rsidR="006D18E3">
        <w:t xml:space="preserve"> </w:t>
      </w:r>
      <w:r w:rsidR="004F2637">
        <w:t>la structure du tissu urbanisé</w:t>
      </w:r>
      <w:r w:rsidR="002679FE">
        <w:t xml:space="preserve">, </w:t>
      </w:r>
      <w:r w:rsidR="007F684B">
        <w:t>la p</w:t>
      </w:r>
      <w:r w:rsidR="002679FE">
        <w:t>roximité</w:t>
      </w:r>
      <w:r w:rsidR="007F684B">
        <w:t xml:space="preserve"> </w:t>
      </w:r>
      <w:r w:rsidR="00BA7C4A">
        <w:t>à</w:t>
      </w:r>
      <w:r w:rsidR="007F684B">
        <w:t xml:space="preserve"> différents services</w:t>
      </w:r>
      <w:r w:rsidR="004F2637">
        <w:t>,</w:t>
      </w:r>
      <w:r w:rsidR="00AD02F4">
        <w:t xml:space="preserve"> </w:t>
      </w:r>
      <w:r w:rsidR="004F2637">
        <w:t xml:space="preserve">le </w:t>
      </w:r>
      <w:r w:rsidR="006D18E3">
        <w:t>niveau de vie</w:t>
      </w:r>
      <w:r w:rsidR="00A8295C">
        <w:t>.</w:t>
      </w:r>
      <w:bookmarkStart w:id="0" w:name="_GoBack"/>
      <w:bookmarkEnd w:id="0"/>
    </w:p>
    <w:p w14:paraId="1ECBD193" w14:textId="77777777" w:rsidR="00F55C17" w:rsidRDefault="00F55C17" w:rsidP="00384879">
      <w:pPr>
        <w:jc w:val="both"/>
      </w:pPr>
      <w:r>
        <w:t xml:space="preserve">Dans un contexte </w:t>
      </w:r>
      <w:r w:rsidR="0000394D">
        <w:t xml:space="preserve">où le </w:t>
      </w:r>
      <w:r w:rsidR="00AB6582">
        <w:t>maintien à domicile des personnes âgées</w:t>
      </w:r>
      <w:r w:rsidR="0000394D">
        <w:t xml:space="preserve"> est l’objet de différentes attentions</w:t>
      </w:r>
      <w:r w:rsidR="006D18E3">
        <w:t xml:space="preserve"> </w:t>
      </w:r>
      <w:r w:rsidR="00A966D6">
        <w:t xml:space="preserve">au niveau régional, fédéral et européen, cette thématique de la stabilité résidentielle </w:t>
      </w:r>
      <w:r w:rsidR="00AB6582">
        <w:t>pour les personnes</w:t>
      </w:r>
      <w:r w:rsidR="00A966D6">
        <w:t xml:space="preserve"> </w:t>
      </w:r>
      <w:r w:rsidR="00AD02F4">
        <w:t>âges est dès lors pertinente pour éclairer les politiques publiques</w:t>
      </w:r>
      <w:r w:rsidR="00294550">
        <w:t xml:space="preserve">. Elle répond également à la question de l’axe 2 du colloque qui met notamment l’accent sur « l’impact des contexte sociaux et </w:t>
      </w:r>
      <w:proofErr w:type="gramStart"/>
      <w:r w:rsidR="00294550">
        <w:t>spatiaux</w:t>
      </w:r>
      <w:proofErr w:type="gramEnd"/>
      <w:r w:rsidR="00294550">
        <w:t xml:space="preserve"> » dans les inégalités sociales et spatiales et éclaire les </w:t>
      </w:r>
      <w:r w:rsidR="009F4180">
        <w:t>« </w:t>
      </w:r>
      <w:r w:rsidR="00294550">
        <w:t>lieux</w:t>
      </w:r>
      <w:r w:rsidR="009F4180">
        <w:t> »</w:t>
      </w:r>
      <w:r w:rsidR="00294550">
        <w:t xml:space="preserve"> « de l’étape ultime de l’existence ».</w:t>
      </w:r>
      <w:r w:rsidR="00A966D6">
        <w:t xml:space="preserve"> </w:t>
      </w:r>
    </w:p>
    <w:p w14:paraId="0C33B106" w14:textId="77777777" w:rsidR="00E002B7" w:rsidRDefault="00E002B7"/>
    <w:p w14:paraId="361AE4A2" w14:textId="77777777" w:rsidR="00E002B7" w:rsidRDefault="00E002B7"/>
    <w:p w14:paraId="40C1F032" w14:textId="77777777" w:rsidR="00E002B7" w:rsidRDefault="00E002B7">
      <w:r>
        <w:t>Bibliographie</w:t>
      </w:r>
    </w:p>
    <w:p w14:paraId="6B2883BB" w14:textId="77777777" w:rsidR="006973D1" w:rsidRDefault="006973D1" w:rsidP="006973D1">
      <w:proofErr w:type="spellStart"/>
      <w:r>
        <w:t>Bonvalet</w:t>
      </w:r>
      <w:proofErr w:type="spellEnd"/>
      <w:r>
        <w:t xml:space="preserve"> C., </w:t>
      </w:r>
      <w:proofErr w:type="spellStart"/>
      <w:r>
        <w:t>Drosso</w:t>
      </w:r>
      <w:proofErr w:type="spellEnd"/>
      <w:r>
        <w:t xml:space="preserve"> F., </w:t>
      </w:r>
      <w:proofErr w:type="spellStart"/>
      <w:r>
        <w:t>Benguigui</w:t>
      </w:r>
      <w:proofErr w:type="spellEnd"/>
      <w:r>
        <w:t xml:space="preserve"> F. et Huynh P.-M. (</w:t>
      </w:r>
      <w:proofErr w:type="spellStart"/>
      <w:r>
        <w:t>dir</w:t>
      </w:r>
      <w:proofErr w:type="spellEnd"/>
      <w:r>
        <w:t xml:space="preserve">.) (2007), </w:t>
      </w:r>
      <w:r w:rsidRPr="009F4180">
        <w:rPr>
          <w:i/>
        </w:rPr>
        <w:t>Vieillissement de la population et logement : les stratégies résidentielles et patrimoniales</w:t>
      </w:r>
      <w:r>
        <w:t>. Paris, La Documentation Française. (Actes du séminaire Patrimoine immobilier et retraite organisé par le Ministère de l’Equipement, PUCA), pp. 509.</w:t>
      </w:r>
    </w:p>
    <w:p w14:paraId="0C528769" w14:textId="77777777" w:rsidR="006973D1" w:rsidRDefault="006973D1" w:rsidP="006973D1">
      <w:r>
        <w:t xml:space="preserve">Charlier J., </w:t>
      </w:r>
      <w:proofErr w:type="spellStart"/>
      <w:r>
        <w:t>Debuisson</w:t>
      </w:r>
      <w:proofErr w:type="spellEnd"/>
      <w:r>
        <w:t xml:space="preserve"> M., </w:t>
      </w:r>
      <w:proofErr w:type="spellStart"/>
      <w:r>
        <w:t>Duprez</w:t>
      </w:r>
      <w:proofErr w:type="spellEnd"/>
      <w:r>
        <w:t xml:space="preserve"> J.-P., Reginster I. (2016), </w:t>
      </w:r>
      <w:r w:rsidRPr="009F4180">
        <w:rPr>
          <w:i/>
        </w:rPr>
        <w:t>Mouvements résidentiels en Wallonie (1994-2014) : analyses des migrations intercommunales et construction de bassins résidentiels</w:t>
      </w:r>
      <w:r>
        <w:t xml:space="preserve">,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de l’IWEPS, n°21, janvier 2016, pp. 81.</w:t>
      </w:r>
    </w:p>
    <w:p w14:paraId="55217EF7" w14:textId="77777777" w:rsidR="006973D1" w:rsidRDefault="006973D1" w:rsidP="006973D1">
      <w:r>
        <w:lastRenderedPageBreak/>
        <w:t xml:space="preserve">Charlier J., </w:t>
      </w:r>
      <w:proofErr w:type="spellStart"/>
      <w:r>
        <w:t>Debuisson</w:t>
      </w:r>
      <w:proofErr w:type="spellEnd"/>
      <w:r>
        <w:t xml:space="preserve"> M., </w:t>
      </w:r>
      <w:proofErr w:type="spellStart"/>
      <w:r>
        <w:t>Duprez</w:t>
      </w:r>
      <w:proofErr w:type="spellEnd"/>
      <w:r>
        <w:t xml:space="preserve"> J.-P., Reginster I., </w:t>
      </w:r>
      <w:r w:rsidRPr="00E002B7">
        <w:t xml:space="preserve">(2016), « Contribution méthodologique à l’analyse des mouvements résidentiels intercommunaux wallons par la construction de bassins résidentiels (1994-2014) », </w:t>
      </w:r>
      <w:r w:rsidRPr="009F4180">
        <w:rPr>
          <w:i/>
        </w:rPr>
        <w:t xml:space="preserve">Revue </w:t>
      </w:r>
      <w:proofErr w:type="spellStart"/>
      <w:r w:rsidRPr="009F4180">
        <w:rPr>
          <w:i/>
        </w:rPr>
        <w:t>Quetelet</w:t>
      </w:r>
      <w:proofErr w:type="spellEnd"/>
      <w:r w:rsidRPr="00E002B7">
        <w:t>, Louvain-la-Neuve, (à paraître)</w:t>
      </w:r>
      <w:r>
        <w:t>.</w:t>
      </w:r>
    </w:p>
    <w:p w14:paraId="0110AFF0" w14:textId="77777777" w:rsidR="006973D1" w:rsidRDefault="006973D1" w:rsidP="006973D1">
      <w:proofErr w:type="spellStart"/>
      <w:r>
        <w:t>Caradec</w:t>
      </w:r>
      <w:proofErr w:type="spellEnd"/>
      <w:r>
        <w:t xml:space="preserve"> V. (2009), </w:t>
      </w:r>
      <w:r w:rsidRPr="009F4180">
        <w:rPr>
          <w:i/>
        </w:rPr>
        <w:t>Les comportements résidentiels des retraités</w:t>
      </w:r>
      <w:r>
        <w:t>, Lille, pp. 69.</w:t>
      </w:r>
    </w:p>
    <w:p w14:paraId="783A345E" w14:textId="77777777" w:rsidR="006973D1" w:rsidRDefault="006973D1" w:rsidP="006973D1">
      <w:r>
        <w:t xml:space="preserve">Irwin M., Blanchard T., </w:t>
      </w:r>
      <w:proofErr w:type="spellStart"/>
      <w:r>
        <w:t>Tolbert</w:t>
      </w:r>
      <w:proofErr w:type="spellEnd"/>
      <w:r>
        <w:t xml:space="preserve"> C., </w:t>
      </w:r>
      <w:proofErr w:type="spellStart"/>
      <w:r>
        <w:t>Nucci</w:t>
      </w:r>
      <w:proofErr w:type="spellEnd"/>
      <w:r>
        <w:t xml:space="preserve"> A., </w:t>
      </w:r>
      <w:proofErr w:type="spellStart"/>
      <w:r>
        <w:t>Lyson</w:t>
      </w:r>
      <w:proofErr w:type="spellEnd"/>
      <w:r>
        <w:t xml:space="preserve"> T. « Pourquoi certains ne migrent pas : l'impact du contexte local sur la sédentarité aux États-Unis », in </w:t>
      </w:r>
      <w:r w:rsidRPr="009F4180">
        <w:rPr>
          <w:i/>
        </w:rPr>
        <w:t>Population</w:t>
      </w:r>
      <w:r>
        <w:t>, 59ᵉ année, n°5, 2004. pp. 653-680.</w:t>
      </w:r>
    </w:p>
    <w:p w14:paraId="6BF80477" w14:textId="42A75433" w:rsidR="006973D1" w:rsidRDefault="006973D1" w:rsidP="006973D1">
      <w:proofErr w:type="spellStart"/>
      <w:r>
        <w:t>Sanderson</w:t>
      </w:r>
      <w:proofErr w:type="spellEnd"/>
      <w:r>
        <w:t xml:space="preserve"> J.-P. (2013), « Partir ou rester ? Transformation du choix résidentiel en fin d’activité de 1970 à 2006 en Belgique</w:t>
      </w:r>
      <w:r w:rsidDel="006973D1">
        <w:t xml:space="preserve"> </w:t>
      </w:r>
      <w:r>
        <w:t xml:space="preserve"> » ", in </w:t>
      </w:r>
      <w:r w:rsidRPr="009F4180">
        <w:rPr>
          <w:i/>
        </w:rPr>
        <w:t>Espace, Populations et Sociétés</w:t>
      </w:r>
      <w:r>
        <w:t>, 2013/3</w:t>
      </w:r>
      <w:r w:rsidR="00531933">
        <w:t>, pp. 19.</w:t>
      </w:r>
    </w:p>
    <w:p w14:paraId="24D03A73" w14:textId="77777777" w:rsidR="006973D1" w:rsidRDefault="006973D1" w:rsidP="006973D1">
      <w:proofErr w:type="spellStart"/>
      <w:r>
        <w:t>Sanderson</w:t>
      </w:r>
      <w:proofErr w:type="spellEnd"/>
      <w:r>
        <w:t xml:space="preserve"> J-P., </w:t>
      </w:r>
      <w:proofErr w:type="spellStart"/>
      <w:r>
        <w:t>Eggerickx</w:t>
      </w:r>
      <w:proofErr w:type="spellEnd"/>
      <w:r>
        <w:t xml:space="preserve"> T (2006), « Migrations des aînés et qualité de vie en Belgique : un vieillissement différentiel des territoires », in G.-F. Dumont (sous la </w:t>
      </w:r>
      <w:proofErr w:type="spellStart"/>
      <w:r>
        <w:t>dir</w:t>
      </w:r>
      <w:proofErr w:type="spellEnd"/>
      <w:r>
        <w:t xml:space="preserve">. de), </w:t>
      </w:r>
      <w:r w:rsidRPr="009F4180">
        <w:rPr>
          <w:i/>
        </w:rPr>
        <w:t>Les territoires face au vieillissement en France et en Europe. Géographie-Politique-Prospective</w:t>
      </w:r>
      <w:r>
        <w:t>, Paris, Ellipse, pp. 304-317.</w:t>
      </w:r>
    </w:p>
    <w:p w14:paraId="635F12EF" w14:textId="77777777" w:rsidR="00FA6675" w:rsidRDefault="00FA6675"/>
    <w:sectPr w:rsidR="00FA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875DB"/>
    <w:multiLevelType w:val="hybridMultilevel"/>
    <w:tmpl w:val="52760E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F5DB0"/>
    <w:multiLevelType w:val="hybridMultilevel"/>
    <w:tmpl w:val="C8AE3E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CB"/>
    <w:rsid w:val="0000028B"/>
    <w:rsid w:val="0000394D"/>
    <w:rsid w:val="00036DC4"/>
    <w:rsid w:val="000D36E1"/>
    <w:rsid w:val="001455BF"/>
    <w:rsid w:val="001D4139"/>
    <w:rsid w:val="002632BC"/>
    <w:rsid w:val="002679FE"/>
    <w:rsid w:val="00294550"/>
    <w:rsid w:val="002C783B"/>
    <w:rsid w:val="00354F74"/>
    <w:rsid w:val="00384879"/>
    <w:rsid w:val="003C0764"/>
    <w:rsid w:val="004F2637"/>
    <w:rsid w:val="00531933"/>
    <w:rsid w:val="005F5ED8"/>
    <w:rsid w:val="006839CC"/>
    <w:rsid w:val="00683E08"/>
    <w:rsid w:val="006973D1"/>
    <w:rsid w:val="006C4EE3"/>
    <w:rsid w:val="006D18E3"/>
    <w:rsid w:val="007941F9"/>
    <w:rsid w:val="007F684B"/>
    <w:rsid w:val="00842C0A"/>
    <w:rsid w:val="00967D21"/>
    <w:rsid w:val="00987BC6"/>
    <w:rsid w:val="009943BB"/>
    <w:rsid w:val="009A0054"/>
    <w:rsid w:val="009F4180"/>
    <w:rsid w:val="00A24294"/>
    <w:rsid w:val="00A8295C"/>
    <w:rsid w:val="00A966D6"/>
    <w:rsid w:val="00AB6582"/>
    <w:rsid w:val="00AD02F4"/>
    <w:rsid w:val="00AE4EE4"/>
    <w:rsid w:val="00B442E4"/>
    <w:rsid w:val="00B55469"/>
    <w:rsid w:val="00B87B9A"/>
    <w:rsid w:val="00BA77E4"/>
    <w:rsid w:val="00BA7C4A"/>
    <w:rsid w:val="00BB08B6"/>
    <w:rsid w:val="00BF40DE"/>
    <w:rsid w:val="00D13A6C"/>
    <w:rsid w:val="00DA1D64"/>
    <w:rsid w:val="00E002B7"/>
    <w:rsid w:val="00E258CB"/>
    <w:rsid w:val="00E35231"/>
    <w:rsid w:val="00E44E14"/>
    <w:rsid w:val="00E9678E"/>
    <w:rsid w:val="00F45F20"/>
    <w:rsid w:val="00F55C17"/>
    <w:rsid w:val="00FA6675"/>
    <w:rsid w:val="00FB1ED3"/>
    <w:rsid w:val="00F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1286"/>
  <w15:chartTrackingRefBased/>
  <w15:docId w15:val="{18DFB577-07EC-4DB8-B3B1-73B4CEF1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2B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42C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2C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2C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2C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2C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2F7F8-17AA-411E-8A88-01605116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IWEPS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Reginster</dc:creator>
  <cp:keywords/>
  <dc:description/>
  <cp:lastModifiedBy>Isabelle Reginster</cp:lastModifiedBy>
  <cp:revision>3</cp:revision>
  <dcterms:created xsi:type="dcterms:W3CDTF">2017-10-06T12:42:00Z</dcterms:created>
  <dcterms:modified xsi:type="dcterms:W3CDTF">2017-10-06T12:52:00Z</dcterms:modified>
</cp:coreProperties>
</file>