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D0" w:rsidRDefault="00B17459" w:rsidP="00B17459">
      <w:pPr>
        <w:pStyle w:val="Pa4"/>
        <w:spacing w:after="120" w:line="240" w:lineRule="auto"/>
        <w:jc w:val="center"/>
        <w:rPr>
          <w:rStyle w:val="A3"/>
          <w:rFonts w:asciiTheme="minorHAnsi" w:hAnsiTheme="minorHAnsi"/>
          <w:b/>
          <w:sz w:val="24"/>
          <w:szCs w:val="24"/>
        </w:rPr>
      </w:pPr>
      <w:r>
        <w:rPr>
          <w:rStyle w:val="A3"/>
          <w:rFonts w:asciiTheme="minorHAnsi" w:hAnsiTheme="minorHAnsi"/>
          <w:b/>
          <w:sz w:val="24"/>
          <w:szCs w:val="24"/>
        </w:rPr>
        <w:t>La</w:t>
      </w:r>
      <w:r w:rsidR="00561003">
        <w:rPr>
          <w:rStyle w:val="A3"/>
          <w:rFonts w:asciiTheme="minorHAnsi" w:hAnsiTheme="minorHAnsi"/>
          <w:b/>
          <w:sz w:val="24"/>
          <w:szCs w:val="24"/>
        </w:rPr>
        <w:t xml:space="preserve"> prospective du</w:t>
      </w:r>
      <w:r w:rsidR="00BB10D0" w:rsidRPr="00BB10D0">
        <w:rPr>
          <w:rStyle w:val="A3"/>
          <w:rFonts w:asciiTheme="minorHAnsi" w:hAnsiTheme="minorHAnsi"/>
          <w:b/>
          <w:sz w:val="24"/>
          <w:szCs w:val="24"/>
        </w:rPr>
        <w:t xml:space="preserve"> bien vieillir</w:t>
      </w:r>
      <w:r w:rsidR="00561003">
        <w:rPr>
          <w:rStyle w:val="A3"/>
          <w:rFonts w:asciiTheme="minorHAnsi" w:hAnsiTheme="minorHAnsi"/>
          <w:b/>
          <w:sz w:val="24"/>
          <w:szCs w:val="24"/>
        </w:rPr>
        <w:t xml:space="preserve"> : examen critique d’un exercice wallon</w:t>
      </w:r>
    </w:p>
    <w:p w:rsidR="00C86EB8" w:rsidRPr="00C86EB8" w:rsidRDefault="00C86EB8" w:rsidP="00C86EB8">
      <w:pPr>
        <w:pStyle w:val="Default"/>
      </w:pPr>
    </w:p>
    <w:p w:rsidR="00B17459" w:rsidRPr="00EC2E98" w:rsidRDefault="00B17459" w:rsidP="00B17459">
      <w:pPr>
        <w:pStyle w:val="Default"/>
        <w:jc w:val="right"/>
        <w:rPr>
          <w:rFonts w:asciiTheme="minorHAnsi" w:hAnsiTheme="minorHAnsi" w:cstheme="minorHAnsi"/>
          <w:sz w:val="18"/>
        </w:rPr>
      </w:pPr>
      <w:r w:rsidRPr="00EC2E98">
        <w:rPr>
          <w:rFonts w:asciiTheme="minorHAnsi" w:hAnsiTheme="minorHAnsi" w:cstheme="minorHAnsi"/>
          <w:sz w:val="18"/>
        </w:rPr>
        <w:t>J</w:t>
      </w:r>
      <w:r w:rsidR="00C86EB8" w:rsidRPr="00EC2E98">
        <w:rPr>
          <w:rFonts w:asciiTheme="minorHAnsi" w:hAnsiTheme="minorHAnsi" w:cstheme="minorHAnsi"/>
          <w:sz w:val="18"/>
        </w:rPr>
        <w:t>.</w:t>
      </w:r>
      <w:r w:rsidRPr="00EC2E98">
        <w:rPr>
          <w:rFonts w:asciiTheme="minorHAnsi" w:hAnsiTheme="minorHAnsi" w:cstheme="minorHAnsi"/>
          <w:sz w:val="18"/>
        </w:rPr>
        <w:t>L</w:t>
      </w:r>
      <w:r w:rsidR="00C86EB8" w:rsidRPr="00EC2E98">
        <w:rPr>
          <w:rFonts w:asciiTheme="minorHAnsi" w:hAnsiTheme="minorHAnsi" w:cstheme="minorHAnsi"/>
          <w:sz w:val="18"/>
        </w:rPr>
        <w:t xml:space="preserve">. </w:t>
      </w:r>
      <w:r w:rsidRPr="00EC2E98">
        <w:rPr>
          <w:rFonts w:asciiTheme="minorHAnsi" w:hAnsiTheme="minorHAnsi" w:cstheme="minorHAnsi"/>
          <w:sz w:val="18"/>
        </w:rPr>
        <w:t>G</w:t>
      </w:r>
      <w:r w:rsidR="00C86EB8" w:rsidRPr="00EC2E98">
        <w:rPr>
          <w:rFonts w:asciiTheme="minorHAnsi" w:hAnsiTheme="minorHAnsi" w:cstheme="minorHAnsi"/>
          <w:sz w:val="18"/>
        </w:rPr>
        <w:t>uyot</w:t>
      </w:r>
    </w:p>
    <w:p w:rsidR="00C86EB8" w:rsidRPr="00EC2E98" w:rsidRDefault="00C86EB8" w:rsidP="00B17459">
      <w:pPr>
        <w:pStyle w:val="Default"/>
        <w:jc w:val="right"/>
        <w:rPr>
          <w:rFonts w:asciiTheme="minorHAnsi" w:hAnsiTheme="minorHAnsi" w:cstheme="minorHAnsi"/>
          <w:sz w:val="18"/>
        </w:rPr>
      </w:pPr>
      <w:r w:rsidRPr="00EC2E98">
        <w:rPr>
          <w:rFonts w:asciiTheme="minorHAnsi" w:hAnsiTheme="minorHAnsi" w:cstheme="minorHAnsi"/>
          <w:sz w:val="18"/>
        </w:rPr>
        <w:t>IWEPS</w:t>
      </w:r>
    </w:p>
    <w:p w:rsidR="00B17459" w:rsidRPr="00EC2E98" w:rsidRDefault="00B17459" w:rsidP="00B17459">
      <w:pPr>
        <w:pStyle w:val="Default"/>
        <w:jc w:val="right"/>
        <w:rPr>
          <w:rFonts w:asciiTheme="minorHAnsi" w:hAnsiTheme="minorHAnsi" w:cstheme="minorHAnsi"/>
          <w:sz w:val="18"/>
        </w:rPr>
      </w:pPr>
      <w:r w:rsidRPr="00EC2E98">
        <w:rPr>
          <w:rFonts w:asciiTheme="minorHAnsi" w:hAnsiTheme="minorHAnsi" w:cstheme="minorHAnsi"/>
          <w:sz w:val="18"/>
        </w:rPr>
        <w:t>J</w:t>
      </w:r>
      <w:r w:rsidR="00C86EB8" w:rsidRPr="00EC2E98">
        <w:rPr>
          <w:rFonts w:asciiTheme="minorHAnsi" w:hAnsiTheme="minorHAnsi" w:cstheme="minorHAnsi"/>
          <w:sz w:val="18"/>
        </w:rPr>
        <w:t xml:space="preserve">. </w:t>
      </w:r>
      <w:r w:rsidRPr="00EC2E98">
        <w:rPr>
          <w:rFonts w:asciiTheme="minorHAnsi" w:hAnsiTheme="minorHAnsi" w:cstheme="minorHAnsi"/>
          <w:sz w:val="18"/>
        </w:rPr>
        <w:t>M</w:t>
      </w:r>
      <w:r w:rsidR="00C86EB8" w:rsidRPr="00EC2E98">
        <w:rPr>
          <w:rFonts w:asciiTheme="minorHAnsi" w:hAnsiTheme="minorHAnsi" w:cstheme="minorHAnsi"/>
          <w:sz w:val="18"/>
        </w:rPr>
        <w:t>arquet</w:t>
      </w:r>
    </w:p>
    <w:p w:rsidR="00C86EB8" w:rsidRPr="00EC2E98" w:rsidRDefault="00C86EB8" w:rsidP="00B17459">
      <w:pPr>
        <w:pStyle w:val="Default"/>
        <w:jc w:val="right"/>
        <w:rPr>
          <w:rFonts w:asciiTheme="minorHAnsi" w:hAnsiTheme="minorHAnsi" w:cstheme="minorHAnsi"/>
          <w:sz w:val="18"/>
        </w:rPr>
      </w:pPr>
      <w:r w:rsidRPr="00EC2E98">
        <w:rPr>
          <w:rFonts w:asciiTheme="minorHAnsi" w:hAnsiTheme="minorHAnsi" w:cstheme="minorHAnsi"/>
          <w:sz w:val="18"/>
        </w:rPr>
        <w:t>UCL</w:t>
      </w:r>
    </w:p>
    <w:p w:rsidR="00BB10D0" w:rsidRPr="00BB10D0" w:rsidRDefault="00BB10D0" w:rsidP="00835DF4">
      <w:pPr>
        <w:pStyle w:val="Default"/>
        <w:jc w:val="both"/>
      </w:pPr>
    </w:p>
    <w:p w:rsidR="00BB10D0" w:rsidRDefault="003F0C34" w:rsidP="00EC2E98">
      <w:pPr>
        <w:pStyle w:val="Pa4"/>
        <w:spacing w:after="120" w:line="240" w:lineRule="auto"/>
        <w:jc w:val="both"/>
        <w:rPr>
          <w:rStyle w:val="A3"/>
          <w:rFonts w:asciiTheme="minorHAnsi" w:hAnsiTheme="minorHAnsi"/>
          <w:sz w:val="24"/>
          <w:szCs w:val="24"/>
        </w:rPr>
      </w:pPr>
      <w:r w:rsidRPr="00BB10D0">
        <w:rPr>
          <w:rStyle w:val="A3"/>
          <w:rFonts w:asciiTheme="minorHAnsi" w:hAnsiTheme="minorHAnsi"/>
          <w:sz w:val="24"/>
          <w:szCs w:val="24"/>
        </w:rPr>
        <w:t>En Wallonie, selon les dernières estimations</w:t>
      </w:r>
      <w:r w:rsidR="00BB10D0" w:rsidRPr="00BB10D0">
        <w:rPr>
          <w:rStyle w:val="Appelnotedebasdep"/>
          <w:rFonts w:asciiTheme="minorHAnsi" w:hAnsiTheme="minorHAnsi" w:cs="Myriad Pro"/>
          <w:color w:val="000000"/>
          <w:sz w:val="24"/>
          <w:szCs w:val="24"/>
        </w:rPr>
        <w:footnoteReference w:id="1"/>
      </w:r>
      <w:r w:rsidRPr="00BB10D0">
        <w:rPr>
          <w:rStyle w:val="A3"/>
          <w:rFonts w:asciiTheme="minorHAnsi" w:hAnsiTheme="minorHAnsi"/>
          <w:sz w:val="24"/>
          <w:szCs w:val="24"/>
        </w:rPr>
        <w:t>, en 2060, une personne sur quatre devrait être âgée de 65 ans ou plus et près d’une sur dix de 80 ans ou plus. Soit plus d’un million de wallons et wallonnes pour la première catégorie et plus de 400 000 pour la seconde</w:t>
      </w:r>
      <w:r w:rsidR="00561003">
        <w:rPr>
          <w:rStyle w:val="A3"/>
          <w:rFonts w:asciiTheme="minorHAnsi" w:hAnsiTheme="minorHAnsi"/>
          <w:sz w:val="24"/>
          <w:szCs w:val="24"/>
        </w:rPr>
        <w:t>.</w:t>
      </w:r>
      <w:r w:rsidRPr="00BB10D0">
        <w:rPr>
          <w:rStyle w:val="A3"/>
          <w:rFonts w:asciiTheme="minorHAnsi" w:hAnsiTheme="minorHAnsi"/>
          <w:sz w:val="24"/>
          <w:szCs w:val="24"/>
        </w:rPr>
        <w:t xml:space="preserve"> </w:t>
      </w:r>
      <w:r w:rsidRPr="00BB10D0">
        <w:rPr>
          <w:rFonts w:asciiTheme="minorHAnsi" w:hAnsiTheme="minorHAnsi" w:cs="Arial"/>
        </w:rPr>
        <w:t xml:space="preserve">Face aux défis engendrés par ces perspectives d’évolution, il paraît nécessaire de s’interroger sur l’évolution des dispositifs d’accompagnement des personnes âgées en Wallonie. </w:t>
      </w:r>
      <w:r w:rsidR="00BB10D0" w:rsidRPr="00BB10D0">
        <w:rPr>
          <w:rStyle w:val="A3"/>
          <w:rFonts w:asciiTheme="minorHAnsi" w:hAnsiTheme="minorHAnsi"/>
          <w:sz w:val="24"/>
          <w:szCs w:val="24"/>
        </w:rPr>
        <w:t>Plus fondamentalement, c’est la question du bien vieillir en Wallonie qui est posée.</w:t>
      </w:r>
    </w:p>
    <w:p w:rsidR="003F0C34" w:rsidRPr="00BB10D0" w:rsidRDefault="003F0C34" w:rsidP="00835DF4">
      <w:pPr>
        <w:pStyle w:val="Pa4"/>
        <w:spacing w:after="120" w:line="240" w:lineRule="auto"/>
        <w:jc w:val="both"/>
        <w:rPr>
          <w:rFonts w:asciiTheme="minorHAnsi" w:hAnsiTheme="minorHAnsi" w:cs="Arial"/>
        </w:rPr>
      </w:pPr>
      <w:r w:rsidRPr="00BB10D0">
        <w:rPr>
          <w:rFonts w:asciiTheme="minorHAnsi" w:hAnsiTheme="minorHAnsi" w:cs="Arial"/>
        </w:rPr>
        <w:t>Cette nécessité est d’autant plus grande que les responsables régionaux en la matière ont mis en évidence une réelle évolution de la situation</w:t>
      </w:r>
      <w:r w:rsidRPr="00BB10D0">
        <w:rPr>
          <w:rStyle w:val="Appelnotedebasdep"/>
          <w:rFonts w:asciiTheme="minorHAnsi" w:hAnsiTheme="minorHAnsi"/>
          <w:sz w:val="24"/>
          <w:szCs w:val="24"/>
        </w:rPr>
        <w:footnoteReference w:id="2"/>
      </w:r>
      <w:r w:rsidRPr="00BB10D0">
        <w:rPr>
          <w:rFonts w:asciiTheme="minorHAnsi" w:hAnsiTheme="minorHAnsi" w:cs="Arial"/>
        </w:rPr>
        <w:t>. Les demandes des personnes âgées et de leur entourage se diversifient. L’entrée des personnes âgées en structure d’accueil est de plus en plus tardive (la moyenne d’âge des personnes en maison de repos avoisine les 80 ans). La proportion des personnes de plus de 80 ans accueillies en structures s’est accrue rapidement et considérablement. Enfin, la population concernée désire demeurer le plus longtemps possible au domicile ou dans un environnement qui lui est proche.</w:t>
      </w:r>
    </w:p>
    <w:p w:rsidR="00BB10D0" w:rsidRPr="00BB10D0" w:rsidRDefault="00BB10D0" w:rsidP="00835DF4">
      <w:pPr>
        <w:spacing w:after="120" w:line="240" w:lineRule="auto"/>
        <w:jc w:val="both"/>
        <w:rPr>
          <w:rFonts w:cs="Arial"/>
          <w:sz w:val="24"/>
          <w:szCs w:val="24"/>
        </w:rPr>
      </w:pPr>
      <w:r w:rsidRPr="00BB10D0">
        <w:rPr>
          <w:rFonts w:cs="Arial"/>
          <w:sz w:val="24"/>
          <w:szCs w:val="24"/>
        </w:rPr>
        <w:t>C’est dans ce contexte que l’Institut wallon de l’évaluation, de la prospective et de la statistique (IWEPS)</w:t>
      </w:r>
      <w:r w:rsidR="00F36459">
        <w:rPr>
          <w:rFonts w:cs="Arial"/>
          <w:sz w:val="24"/>
          <w:szCs w:val="24"/>
        </w:rPr>
        <w:t xml:space="preserve"> </w:t>
      </w:r>
      <w:r w:rsidRPr="00BB10D0">
        <w:rPr>
          <w:rFonts w:cs="Arial"/>
          <w:sz w:val="24"/>
          <w:szCs w:val="24"/>
        </w:rPr>
        <w:t>a mis en œuvre un programme de travail prospectif sur le vieillissement démographique de notre région. Parmi les activités participant de ce programme, un projet de recherche sur le bien vieillir a été mis sur pied. Ce projet été confié, à la fin de l’année 2013, à une équipe interdisciplinaire composée de démographes, de sociologues</w:t>
      </w:r>
      <w:r w:rsidR="00EC2E98">
        <w:rPr>
          <w:rFonts w:cs="Arial"/>
          <w:sz w:val="24"/>
          <w:szCs w:val="24"/>
        </w:rPr>
        <w:t xml:space="preserve"> </w:t>
      </w:r>
      <w:r w:rsidRPr="00BB10D0">
        <w:rPr>
          <w:rFonts w:cs="Arial"/>
          <w:sz w:val="24"/>
          <w:szCs w:val="24"/>
        </w:rPr>
        <w:t>et d’économistes de l’U</w:t>
      </w:r>
      <w:r>
        <w:rPr>
          <w:rFonts w:cs="Arial"/>
          <w:sz w:val="24"/>
          <w:szCs w:val="24"/>
        </w:rPr>
        <w:t>niversité catholique de Louvain et s’est déployé jusqu’en 2015.</w:t>
      </w:r>
    </w:p>
    <w:p w:rsidR="00E261ED" w:rsidRDefault="00F36459" w:rsidP="00835DF4">
      <w:pPr>
        <w:spacing w:after="120" w:line="240" w:lineRule="auto"/>
        <w:jc w:val="both"/>
        <w:rPr>
          <w:rFonts w:cs="Arial"/>
          <w:sz w:val="24"/>
          <w:szCs w:val="24"/>
        </w:rPr>
      </w:pPr>
      <w:r>
        <w:rPr>
          <w:rFonts w:cs="Arial"/>
          <w:sz w:val="24"/>
          <w:szCs w:val="24"/>
        </w:rPr>
        <w:t>L</w:t>
      </w:r>
      <w:r w:rsidR="00E261ED">
        <w:rPr>
          <w:rFonts w:cs="Arial"/>
          <w:sz w:val="24"/>
          <w:szCs w:val="24"/>
        </w:rPr>
        <w:t xml:space="preserve">es </w:t>
      </w:r>
      <w:r w:rsidR="00BB10D0" w:rsidRPr="00BB10D0">
        <w:rPr>
          <w:rFonts w:cs="Arial"/>
          <w:sz w:val="24"/>
          <w:szCs w:val="24"/>
        </w:rPr>
        <w:t>objectif</w:t>
      </w:r>
      <w:r w:rsidR="00E261ED">
        <w:rPr>
          <w:rFonts w:cs="Arial"/>
          <w:sz w:val="24"/>
          <w:szCs w:val="24"/>
        </w:rPr>
        <w:t>s</w:t>
      </w:r>
      <w:r w:rsidR="00BB10D0" w:rsidRPr="00BB10D0">
        <w:rPr>
          <w:rFonts w:cs="Arial"/>
          <w:sz w:val="24"/>
          <w:szCs w:val="24"/>
        </w:rPr>
        <w:t xml:space="preserve"> intrinsèque</w:t>
      </w:r>
      <w:r w:rsidR="00E261ED">
        <w:rPr>
          <w:rFonts w:cs="Arial"/>
          <w:sz w:val="24"/>
          <w:szCs w:val="24"/>
        </w:rPr>
        <w:t>s</w:t>
      </w:r>
      <w:r w:rsidR="00BB10D0" w:rsidRPr="00BB10D0">
        <w:rPr>
          <w:rFonts w:cs="Arial"/>
          <w:sz w:val="24"/>
          <w:szCs w:val="24"/>
        </w:rPr>
        <w:t xml:space="preserve"> du projet étai</w:t>
      </w:r>
      <w:r w:rsidR="00E261ED">
        <w:rPr>
          <w:rFonts w:cs="Arial"/>
          <w:sz w:val="24"/>
          <w:szCs w:val="24"/>
        </w:rPr>
        <w:t>ent :</w:t>
      </w:r>
    </w:p>
    <w:p w:rsidR="00E261ED" w:rsidRPr="00E261ED" w:rsidRDefault="00E261ED" w:rsidP="00835DF4">
      <w:pPr>
        <w:pStyle w:val="Paragraphedeliste"/>
        <w:numPr>
          <w:ilvl w:val="0"/>
          <w:numId w:val="1"/>
        </w:numPr>
        <w:spacing w:after="120" w:line="240" w:lineRule="auto"/>
        <w:jc w:val="both"/>
        <w:rPr>
          <w:rStyle w:val="A3"/>
          <w:rFonts w:cs="Arial"/>
          <w:color w:val="auto"/>
          <w:sz w:val="24"/>
          <w:szCs w:val="24"/>
        </w:rPr>
      </w:pPr>
      <w:r w:rsidRPr="00BB10D0">
        <w:rPr>
          <w:rStyle w:val="A3"/>
          <w:sz w:val="24"/>
          <w:szCs w:val="24"/>
        </w:rPr>
        <w:t xml:space="preserve">d’identifier, sur la base d’un examen rigoureux de la situation régionale et des attentes </w:t>
      </w:r>
      <w:r>
        <w:rPr>
          <w:rStyle w:val="A3"/>
          <w:sz w:val="24"/>
          <w:szCs w:val="24"/>
        </w:rPr>
        <w:t xml:space="preserve">et besoins </w:t>
      </w:r>
      <w:r w:rsidRPr="00BB10D0">
        <w:rPr>
          <w:rStyle w:val="A3"/>
          <w:sz w:val="24"/>
          <w:szCs w:val="24"/>
        </w:rPr>
        <w:t>de la population</w:t>
      </w:r>
      <w:r>
        <w:rPr>
          <w:rStyle w:val="A3"/>
          <w:sz w:val="24"/>
          <w:szCs w:val="24"/>
        </w:rPr>
        <w:t>,</w:t>
      </w:r>
    </w:p>
    <w:p w:rsidR="00E261ED" w:rsidRPr="00E261ED" w:rsidRDefault="00E261ED" w:rsidP="00835DF4">
      <w:pPr>
        <w:pStyle w:val="Paragraphedeliste"/>
        <w:numPr>
          <w:ilvl w:val="0"/>
          <w:numId w:val="1"/>
        </w:numPr>
        <w:spacing w:after="120" w:line="240" w:lineRule="auto"/>
        <w:jc w:val="both"/>
        <w:rPr>
          <w:rStyle w:val="A3"/>
          <w:rFonts w:cs="Arial"/>
          <w:color w:val="auto"/>
          <w:sz w:val="24"/>
          <w:szCs w:val="24"/>
        </w:rPr>
      </w:pPr>
      <w:r>
        <w:rPr>
          <w:rStyle w:val="A3"/>
          <w:sz w:val="24"/>
          <w:szCs w:val="24"/>
        </w:rPr>
        <w:t>d’élaborer d</w:t>
      </w:r>
      <w:r w:rsidRPr="00BB10D0">
        <w:rPr>
          <w:rStyle w:val="A3"/>
          <w:sz w:val="24"/>
          <w:szCs w:val="24"/>
        </w:rPr>
        <w:t xml:space="preserve">es scénarios d’évolutions </w:t>
      </w:r>
      <w:r>
        <w:rPr>
          <w:rStyle w:val="A3"/>
          <w:sz w:val="24"/>
          <w:szCs w:val="24"/>
        </w:rPr>
        <w:t xml:space="preserve">en matière de bien vieillir </w:t>
      </w:r>
      <w:r w:rsidRPr="00BB10D0">
        <w:rPr>
          <w:rFonts w:cs="Arial"/>
          <w:sz w:val="24"/>
          <w:szCs w:val="24"/>
        </w:rPr>
        <w:t>à l’horizon 2025-2045</w:t>
      </w:r>
      <w:r>
        <w:rPr>
          <w:rFonts w:cs="Arial"/>
          <w:sz w:val="24"/>
          <w:szCs w:val="24"/>
        </w:rPr>
        <w:t xml:space="preserve"> </w:t>
      </w:r>
      <w:r>
        <w:rPr>
          <w:rStyle w:val="A3"/>
          <w:sz w:val="24"/>
          <w:szCs w:val="24"/>
        </w:rPr>
        <w:t>sur la base d’une méthodologie rigoureuse,</w:t>
      </w:r>
    </w:p>
    <w:p w:rsidR="00E261ED" w:rsidRDefault="00E261ED" w:rsidP="00835DF4">
      <w:pPr>
        <w:pStyle w:val="Paragraphedeliste"/>
        <w:numPr>
          <w:ilvl w:val="0"/>
          <w:numId w:val="1"/>
        </w:numPr>
        <w:spacing w:after="120" w:line="240" w:lineRule="auto"/>
        <w:jc w:val="both"/>
        <w:rPr>
          <w:rFonts w:cs="Arial"/>
          <w:sz w:val="24"/>
          <w:szCs w:val="24"/>
        </w:rPr>
      </w:pPr>
      <w:r>
        <w:rPr>
          <w:rStyle w:val="A3"/>
          <w:sz w:val="24"/>
          <w:szCs w:val="24"/>
        </w:rPr>
        <w:t xml:space="preserve">de mettre en évidence </w:t>
      </w:r>
      <w:r>
        <w:rPr>
          <w:rFonts w:cs="Arial"/>
          <w:sz w:val="24"/>
          <w:szCs w:val="24"/>
        </w:rPr>
        <w:t xml:space="preserve">les </w:t>
      </w:r>
      <w:r w:rsidRPr="00BB10D0">
        <w:rPr>
          <w:rFonts w:cs="Arial"/>
          <w:sz w:val="24"/>
          <w:szCs w:val="24"/>
        </w:rPr>
        <w:t xml:space="preserve">enjeux pertinents pour la Wallonie en </w:t>
      </w:r>
      <w:r>
        <w:rPr>
          <w:rFonts w:cs="Arial"/>
          <w:sz w:val="24"/>
          <w:szCs w:val="24"/>
        </w:rPr>
        <w:t xml:space="preserve">la </w:t>
      </w:r>
      <w:r w:rsidRPr="00BB10D0">
        <w:rPr>
          <w:rFonts w:cs="Arial"/>
          <w:sz w:val="24"/>
          <w:szCs w:val="24"/>
        </w:rPr>
        <w:t>m</w:t>
      </w:r>
      <w:r>
        <w:rPr>
          <w:rFonts w:cs="Arial"/>
          <w:sz w:val="24"/>
          <w:szCs w:val="24"/>
        </w:rPr>
        <w:t>atière et</w:t>
      </w:r>
    </w:p>
    <w:p w:rsidR="00E261ED" w:rsidRPr="00E261ED" w:rsidRDefault="00E261ED" w:rsidP="00835DF4">
      <w:pPr>
        <w:pStyle w:val="Paragraphedeliste"/>
        <w:numPr>
          <w:ilvl w:val="0"/>
          <w:numId w:val="1"/>
        </w:numPr>
        <w:spacing w:after="120" w:line="240" w:lineRule="auto"/>
        <w:jc w:val="both"/>
        <w:rPr>
          <w:rFonts w:cs="Arial"/>
          <w:sz w:val="24"/>
          <w:szCs w:val="24"/>
        </w:rPr>
      </w:pPr>
      <w:r w:rsidRPr="00BB10D0">
        <w:rPr>
          <w:rFonts w:cs="Arial"/>
          <w:sz w:val="24"/>
          <w:szCs w:val="24"/>
        </w:rPr>
        <w:t xml:space="preserve">d’identifier </w:t>
      </w:r>
      <w:r>
        <w:rPr>
          <w:rFonts w:cs="Arial"/>
          <w:sz w:val="24"/>
          <w:szCs w:val="24"/>
        </w:rPr>
        <w:t>d</w:t>
      </w:r>
      <w:r w:rsidRPr="00BB10D0">
        <w:rPr>
          <w:rFonts w:cs="Arial"/>
          <w:sz w:val="24"/>
          <w:szCs w:val="24"/>
        </w:rPr>
        <w:t xml:space="preserve">es pistes d’action publique permettant d’anticiper </w:t>
      </w:r>
      <w:r>
        <w:rPr>
          <w:rFonts w:cs="Arial"/>
          <w:sz w:val="24"/>
          <w:szCs w:val="24"/>
        </w:rPr>
        <w:t xml:space="preserve">les </w:t>
      </w:r>
      <w:r w:rsidRPr="00BB10D0">
        <w:rPr>
          <w:rFonts w:cs="Arial"/>
          <w:sz w:val="24"/>
          <w:szCs w:val="24"/>
        </w:rPr>
        <w:t>défis posés par l’évolution démographique régionale</w:t>
      </w:r>
      <w:r>
        <w:rPr>
          <w:rFonts w:cs="Arial"/>
          <w:sz w:val="24"/>
          <w:szCs w:val="24"/>
        </w:rPr>
        <w:t xml:space="preserve"> et d’y</w:t>
      </w:r>
      <w:r w:rsidRPr="00BB10D0">
        <w:rPr>
          <w:rFonts w:cs="Arial"/>
          <w:sz w:val="24"/>
          <w:szCs w:val="24"/>
        </w:rPr>
        <w:t xml:space="preserve"> répondre.</w:t>
      </w:r>
    </w:p>
    <w:p w:rsidR="00BB10D0" w:rsidRDefault="00F36459" w:rsidP="00835DF4">
      <w:pPr>
        <w:pStyle w:val="Default"/>
        <w:spacing w:after="120"/>
        <w:jc w:val="both"/>
        <w:rPr>
          <w:rFonts w:asciiTheme="minorHAnsi" w:hAnsiTheme="minorHAnsi"/>
          <w:lang w:val="fr-BE"/>
        </w:rPr>
      </w:pPr>
      <w:r>
        <w:rPr>
          <w:rFonts w:asciiTheme="minorHAnsi" w:hAnsiTheme="minorHAnsi"/>
          <w:lang w:val="fr-BE"/>
        </w:rPr>
        <w:t>Les résultats obtenus ont donné lieu à plusieurs publications</w:t>
      </w:r>
      <w:r>
        <w:rPr>
          <w:rStyle w:val="Appelnotedebasdep"/>
          <w:lang w:val="fr-BE"/>
        </w:rPr>
        <w:footnoteReference w:id="3"/>
      </w:r>
      <w:r>
        <w:rPr>
          <w:rFonts w:asciiTheme="minorHAnsi" w:hAnsiTheme="minorHAnsi"/>
          <w:lang w:val="fr-BE"/>
        </w:rPr>
        <w:t>.</w:t>
      </w:r>
    </w:p>
    <w:p w:rsidR="00835DF4" w:rsidRDefault="00F36459" w:rsidP="00835DF4">
      <w:pPr>
        <w:pStyle w:val="Default"/>
        <w:spacing w:after="120"/>
        <w:jc w:val="both"/>
        <w:rPr>
          <w:rFonts w:asciiTheme="minorHAnsi" w:hAnsiTheme="minorHAnsi"/>
          <w:lang w:val="fr-BE"/>
        </w:rPr>
      </w:pPr>
      <w:r>
        <w:rPr>
          <w:rFonts w:asciiTheme="minorHAnsi" w:hAnsiTheme="minorHAnsi"/>
          <w:lang w:val="fr-BE"/>
        </w:rPr>
        <w:t xml:space="preserve">L’objet de notre communication </w:t>
      </w:r>
      <w:r w:rsidR="00561003">
        <w:rPr>
          <w:rFonts w:asciiTheme="minorHAnsi" w:hAnsiTheme="minorHAnsi"/>
          <w:lang w:val="fr-BE"/>
        </w:rPr>
        <w:t xml:space="preserve">au colloque de l’AIDELF 2018 </w:t>
      </w:r>
      <w:r>
        <w:rPr>
          <w:rFonts w:asciiTheme="minorHAnsi" w:hAnsiTheme="minorHAnsi"/>
          <w:lang w:val="fr-BE"/>
        </w:rPr>
        <w:t xml:space="preserve">est </w:t>
      </w:r>
    </w:p>
    <w:p w:rsidR="00835DF4" w:rsidRDefault="00835DF4" w:rsidP="00EC2E98">
      <w:pPr>
        <w:pStyle w:val="Default"/>
        <w:numPr>
          <w:ilvl w:val="0"/>
          <w:numId w:val="2"/>
        </w:numPr>
        <w:spacing w:after="120"/>
        <w:ind w:left="567" w:hanging="425"/>
        <w:jc w:val="both"/>
        <w:rPr>
          <w:rFonts w:asciiTheme="minorHAnsi" w:hAnsiTheme="minorHAnsi"/>
          <w:lang w:val="fr-BE"/>
        </w:rPr>
      </w:pPr>
      <w:r>
        <w:rPr>
          <w:rFonts w:asciiTheme="minorHAnsi" w:hAnsiTheme="minorHAnsi"/>
          <w:lang w:val="fr-BE"/>
        </w:rPr>
        <w:t xml:space="preserve">de </w:t>
      </w:r>
      <w:r w:rsidR="00CF0A4C">
        <w:rPr>
          <w:rFonts w:asciiTheme="minorHAnsi" w:hAnsiTheme="minorHAnsi"/>
          <w:lang w:val="fr-BE"/>
        </w:rPr>
        <w:t xml:space="preserve">présenter les particularités méthodologiques </w:t>
      </w:r>
      <w:r>
        <w:rPr>
          <w:rFonts w:asciiTheme="minorHAnsi" w:hAnsiTheme="minorHAnsi"/>
          <w:lang w:val="fr-BE"/>
        </w:rPr>
        <w:t xml:space="preserve">et épistémologiques </w:t>
      </w:r>
      <w:r w:rsidR="00CF0A4C">
        <w:rPr>
          <w:rFonts w:asciiTheme="minorHAnsi" w:hAnsiTheme="minorHAnsi"/>
          <w:lang w:val="fr-BE"/>
        </w:rPr>
        <w:t>de</w:t>
      </w:r>
      <w:r>
        <w:rPr>
          <w:rFonts w:asciiTheme="minorHAnsi" w:hAnsiTheme="minorHAnsi"/>
          <w:lang w:val="fr-BE"/>
        </w:rPr>
        <w:t>s différentes composantes de</w:t>
      </w:r>
      <w:r w:rsidR="00CF0A4C">
        <w:rPr>
          <w:rFonts w:asciiTheme="minorHAnsi" w:hAnsiTheme="minorHAnsi"/>
          <w:lang w:val="fr-BE"/>
        </w:rPr>
        <w:t xml:space="preserve"> cette recherche </w:t>
      </w:r>
      <w:r>
        <w:rPr>
          <w:rFonts w:asciiTheme="minorHAnsi" w:hAnsiTheme="minorHAnsi"/>
          <w:lang w:val="fr-BE"/>
        </w:rPr>
        <w:t xml:space="preserve">à la lumière des prescrits en vigueur dans le champ de la pratique prospective </w:t>
      </w:r>
      <w:r w:rsidR="00CF0A4C">
        <w:rPr>
          <w:rFonts w:asciiTheme="minorHAnsi" w:hAnsiTheme="minorHAnsi"/>
          <w:lang w:val="fr-BE"/>
        </w:rPr>
        <w:t xml:space="preserve">et </w:t>
      </w:r>
    </w:p>
    <w:p w:rsidR="00E261ED" w:rsidRDefault="00835DF4" w:rsidP="00EC2E98">
      <w:pPr>
        <w:pStyle w:val="Default"/>
        <w:numPr>
          <w:ilvl w:val="0"/>
          <w:numId w:val="2"/>
        </w:numPr>
        <w:spacing w:after="120"/>
        <w:ind w:left="567" w:hanging="425"/>
        <w:jc w:val="both"/>
        <w:rPr>
          <w:rFonts w:asciiTheme="minorHAnsi" w:hAnsiTheme="minorHAnsi"/>
          <w:lang w:val="fr-BE"/>
        </w:rPr>
      </w:pPr>
      <w:r>
        <w:rPr>
          <w:rFonts w:asciiTheme="minorHAnsi" w:hAnsiTheme="minorHAnsi"/>
          <w:lang w:val="fr-BE"/>
        </w:rPr>
        <w:t>de tirer un premier bilan de la percolation des résultats de la recherche dans l’action publique régionale wallonne.</w:t>
      </w:r>
    </w:p>
    <w:p w:rsidR="003C598F" w:rsidRPr="00BB10D0" w:rsidRDefault="003C598F" w:rsidP="003C598F">
      <w:pPr>
        <w:pStyle w:val="Default"/>
        <w:spacing w:after="120"/>
        <w:jc w:val="both"/>
        <w:rPr>
          <w:rFonts w:asciiTheme="minorHAnsi" w:hAnsiTheme="minorHAnsi"/>
          <w:lang w:val="fr-BE"/>
        </w:rPr>
      </w:pPr>
      <w:r>
        <w:rPr>
          <w:rFonts w:asciiTheme="minorHAnsi" w:hAnsiTheme="minorHAnsi"/>
          <w:lang w:val="fr-BE"/>
        </w:rPr>
        <w:t>Ce faisant, nous serons amenés à cerner les conditions de réussite d’un exercice prospectif, notamment en matière de vieillissement démographique.</w:t>
      </w:r>
    </w:p>
    <w:p w:rsidR="003F0C34" w:rsidRPr="00E261ED" w:rsidRDefault="003F0C34" w:rsidP="00835DF4">
      <w:pPr>
        <w:pStyle w:val="Pa4"/>
        <w:spacing w:after="120" w:line="240" w:lineRule="auto"/>
        <w:jc w:val="both"/>
        <w:rPr>
          <w:rFonts w:asciiTheme="minorHAnsi" w:hAnsiTheme="minorHAnsi" w:cs="Myriad Pro"/>
          <w:color w:val="000000"/>
        </w:rPr>
      </w:pPr>
    </w:p>
    <w:p w:rsidR="003F0C34" w:rsidRPr="00BB10D0" w:rsidRDefault="00EC2E98" w:rsidP="00835DF4">
      <w:pPr>
        <w:pStyle w:val="Pa4"/>
        <w:spacing w:after="120" w:line="240" w:lineRule="auto"/>
        <w:jc w:val="both"/>
        <w:rPr>
          <w:rStyle w:val="A3"/>
          <w:rFonts w:asciiTheme="minorHAnsi" w:hAnsiTheme="minorHAnsi"/>
          <w:sz w:val="24"/>
          <w:szCs w:val="24"/>
        </w:rPr>
      </w:pPr>
      <w:r>
        <w:rPr>
          <w:rStyle w:val="A3"/>
          <w:rFonts w:asciiTheme="minorHAnsi" w:hAnsiTheme="minorHAnsi"/>
          <w:sz w:val="24"/>
          <w:szCs w:val="24"/>
        </w:rPr>
        <w:t>Références</w:t>
      </w:r>
    </w:p>
    <w:p w:rsidR="00EC2E98" w:rsidRPr="00EC2E98" w:rsidRDefault="00EC2E98" w:rsidP="00EC2E98">
      <w:pPr>
        <w:autoSpaceDE w:val="0"/>
        <w:autoSpaceDN w:val="0"/>
        <w:adjustRightInd w:val="0"/>
        <w:spacing w:after="0" w:line="240" w:lineRule="auto"/>
        <w:ind w:left="426" w:hanging="426"/>
        <w:jc w:val="both"/>
        <w:rPr>
          <w:rFonts w:cstheme="minorHAnsi"/>
          <w:iCs/>
          <w:sz w:val="20"/>
          <w:szCs w:val="20"/>
        </w:rPr>
      </w:pPr>
      <w:r w:rsidRPr="00EC2E98">
        <w:rPr>
          <w:rFonts w:cstheme="minorHAnsi"/>
          <w:sz w:val="20"/>
          <w:szCs w:val="20"/>
          <w:lang w:val="it-CH"/>
        </w:rPr>
        <w:t>B</w:t>
      </w:r>
      <w:r>
        <w:rPr>
          <w:rFonts w:cstheme="minorHAnsi"/>
          <w:sz w:val="20"/>
          <w:szCs w:val="20"/>
          <w:lang w:val="it-CH"/>
        </w:rPr>
        <w:t>arbieri Masini</w:t>
      </w:r>
      <w:r w:rsidRPr="00EC2E98">
        <w:rPr>
          <w:rFonts w:cstheme="minorHAnsi"/>
          <w:sz w:val="20"/>
          <w:szCs w:val="20"/>
          <w:lang w:val="it-CH"/>
        </w:rPr>
        <w:t xml:space="preserve"> E., </w:t>
      </w:r>
      <w:r w:rsidRPr="00EC2E98">
        <w:rPr>
          <w:rFonts w:cstheme="minorHAnsi"/>
          <w:i/>
          <w:iCs/>
          <w:sz w:val="20"/>
          <w:szCs w:val="20"/>
          <w:lang w:val="it-CH"/>
        </w:rPr>
        <w:t xml:space="preserve">Penser le futur. </w:t>
      </w:r>
      <w:r w:rsidRPr="00EC2E98">
        <w:rPr>
          <w:rFonts w:cstheme="minorHAnsi"/>
          <w:i/>
          <w:iCs/>
          <w:sz w:val="20"/>
          <w:szCs w:val="20"/>
        </w:rPr>
        <w:t>L’essentiel de la prospective et de ses méthode</w:t>
      </w:r>
      <w:r w:rsidRPr="00EC2E98">
        <w:rPr>
          <w:rFonts w:cstheme="minorHAnsi"/>
          <w:iCs/>
          <w:sz w:val="20"/>
          <w:szCs w:val="20"/>
        </w:rPr>
        <w:t xml:space="preserve">, </w:t>
      </w:r>
      <w:r w:rsidRPr="00EC2E98">
        <w:rPr>
          <w:rFonts w:cstheme="minorHAnsi"/>
          <w:sz w:val="20"/>
          <w:szCs w:val="20"/>
        </w:rPr>
        <w:t>Trad. </w:t>
      </w:r>
      <w:proofErr w:type="spellStart"/>
      <w:r w:rsidRPr="00EC2E98">
        <w:rPr>
          <w:rFonts w:cstheme="minorHAnsi"/>
          <w:sz w:val="20"/>
          <w:szCs w:val="20"/>
        </w:rPr>
        <w:t>Franç</w:t>
      </w:r>
      <w:proofErr w:type="spellEnd"/>
      <w:r w:rsidRPr="00EC2E98">
        <w:rPr>
          <w:rFonts w:cstheme="minorHAnsi"/>
          <w:i/>
          <w:iCs/>
          <w:sz w:val="20"/>
          <w:szCs w:val="20"/>
        </w:rPr>
        <w:t>.,</w:t>
      </w:r>
      <w:r w:rsidRPr="00EC2E98">
        <w:rPr>
          <w:rFonts w:cstheme="minorHAnsi"/>
          <w:sz w:val="20"/>
          <w:szCs w:val="20"/>
        </w:rPr>
        <w:t> </w:t>
      </w:r>
      <w:proofErr w:type="spellStart"/>
      <w:r w:rsidRPr="00EC2E98">
        <w:rPr>
          <w:rFonts w:cstheme="minorHAnsi"/>
          <w:sz w:val="20"/>
          <w:szCs w:val="20"/>
        </w:rPr>
        <w:t>Dunod</w:t>
      </w:r>
      <w:proofErr w:type="spellEnd"/>
      <w:r w:rsidRPr="00EC2E98">
        <w:rPr>
          <w:rFonts w:cstheme="minorHAnsi"/>
          <w:sz w:val="20"/>
          <w:szCs w:val="20"/>
        </w:rPr>
        <w:t>, Paris, 2000</w:t>
      </w:r>
    </w:p>
    <w:p w:rsidR="003F0C34" w:rsidRPr="00EC2E98" w:rsidRDefault="00C86EB8" w:rsidP="00EC2E98">
      <w:pPr>
        <w:autoSpaceDE w:val="0"/>
        <w:autoSpaceDN w:val="0"/>
        <w:adjustRightInd w:val="0"/>
        <w:spacing w:after="0" w:line="240" w:lineRule="auto"/>
        <w:ind w:left="426" w:hanging="426"/>
        <w:rPr>
          <w:rFonts w:cstheme="minorHAnsi"/>
          <w:color w:val="000000"/>
          <w:sz w:val="20"/>
          <w:szCs w:val="20"/>
        </w:rPr>
      </w:pPr>
      <w:r w:rsidRPr="00EC2E98">
        <w:rPr>
          <w:rFonts w:cstheme="minorHAnsi"/>
          <w:color w:val="000000"/>
          <w:sz w:val="20"/>
          <w:szCs w:val="20"/>
        </w:rPr>
        <w:t xml:space="preserve">Bourguignon M., </w:t>
      </w:r>
      <w:proofErr w:type="spellStart"/>
      <w:r w:rsidRPr="00EC2E98">
        <w:rPr>
          <w:rFonts w:cstheme="minorHAnsi"/>
          <w:color w:val="000000"/>
          <w:sz w:val="20"/>
          <w:szCs w:val="20"/>
        </w:rPr>
        <w:t>Degrave</w:t>
      </w:r>
      <w:proofErr w:type="spellEnd"/>
      <w:r w:rsidRPr="00EC2E98">
        <w:rPr>
          <w:rFonts w:cstheme="minorHAnsi"/>
          <w:color w:val="000000"/>
          <w:sz w:val="20"/>
          <w:szCs w:val="20"/>
        </w:rPr>
        <w:t xml:space="preserve"> F., </w:t>
      </w:r>
      <w:proofErr w:type="spellStart"/>
      <w:r w:rsidRPr="00EC2E98">
        <w:rPr>
          <w:rFonts w:cstheme="minorHAnsi"/>
          <w:color w:val="000000"/>
          <w:sz w:val="20"/>
          <w:szCs w:val="20"/>
        </w:rPr>
        <w:t>Eggerickx</w:t>
      </w:r>
      <w:proofErr w:type="spellEnd"/>
      <w:r w:rsidRPr="00EC2E98">
        <w:rPr>
          <w:rFonts w:cstheme="minorHAnsi"/>
          <w:color w:val="000000"/>
          <w:sz w:val="20"/>
          <w:szCs w:val="20"/>
        </w:rPr>
        <w:t xml:space="preserve"> T., </w:t>
      </w:r>
      <w:proofErr w:type="spellStart"/>
      <w:r w:rsidRPr="00EC2E98">
        <w:rPr>
          <w:rFonts w:cstheme="minorHAnsi"/>
          <w:color w:val="000000"/>
          <w:sz w:val="20"/>
          <w:szCs w:val="20"/>
        </w:rPr>
        <w:t>Ghilain</w:t>
      </w:r>
      <w:proofErr w:type="spellEnd"/>
      <w:r w:rsidRPr="00EC2E98">
        <w:rPr>
          <w:rFonts w:cstheme="minorHAnsi"/>
          <w:color w:val="000000"/>
          <w:sz w:val="20"/>
          <w:szCs w:val="20"/>
        </w:rPr>
        <w:t xml:space="preserve"> M., </w:t>
      </w:r>
      <w:proofErr w:type="spellStart"/>
      <w:r w:rsidRPr="00EC2E98">
        <w:rPr>
          <w:rFonts w:cstheme="minorHAnsi"/>
          <w:color w:val="000000"/>
          <w:sz w:val="20"/>
          <w:szCs w:val="20"/>
        </w:rPr>
        <w:t>Leider</w:t>
      </w:r>
      <w:proofErr w:type="spellEnd"/>
      <w:r w:rsidRPr="00EC2E98">
        <w:rPr>
          <w:rFonts w:cstheme="minorHAnsi"/>
          <w:color w:val="000000"/>
          <w:sz w:val="20"/>
          <w:szCs w:val="20"/>
        </w:rPr>
        <w:t xml:space="preserve"> B., Lits G.,</w:t>
      </w:r>
      <w:r w:rsidRPr="00EC2E98">
        <w:rPr>
          <w:rFonts w:cstheme="minorHAnsi"/>
          <w:color w:val="000000"/>
          <w:sz w:val="20"/>
          <w:szCs w:val="20"/>
        </w:rPr>
        <w:t xml:space="preserve"> </w:t>
      </w:r>
      <w:r w:rsidRPr="00EC2E98">
        <w:rPr>
          <w:rFonts w:cstheme="minorHAnsi"/>
          <w:color w:val="000000"/>
          <w:sz w:val="20"/>
          <w:szCs w:val="20"/>
        </w:rPr>
        <w:t xml:space="preserve">Marquet J., </w:t>
      </w:r>
      <w:proofErr w:type="spellStart"/>
      <w:r w:rsidRPr="00EC2E98">
        <w:rPr>
          <w:rFonts w:cstheme="minorHAnsi"/>
          <w:color w:val="000000"/>
          <w:sz w:val="20"/>
          <w:szCs w:val="20"/>
        </w:rPr>
        <w:t>Merla</w:t>
      </w:r>
      <w:proofErr w:type="spellEnd"/>
      <w:r w:rsidRPr="00EC2E98">
        <w:rPr>
          <w:rFonts w:cstheme="minorHAnsi"/>
          <w:color w:val="000000"/>
          <w:sz w:val="20"/>
          <w:szCs w:val="20"/>
        </w:rPr>
        <w:t xml:space="preserve"> L., </w:t>
      </w:r>
      <w:proofErr w:type="spellStart"/>
      <w:r w:rsidRPr="00EC2E98">
        <w:rPr>
          <w:rFonts w:cstheme="minorHAnsi"/>
          <w:color w:val="000000"/>
          <w:sz w:val="20"/>
          <w:szCs w:val="20"/>
        </w:rPr>
        <w:t>Sanderson</w:t>
      </w:r>
      <w:proofErr w:type="spellEnd"/>
      <w:r w:rsidRPr="00EC2E98">
        <w:rPr>
          <w:rFonts w:cstheme="minorHAnsi"/>
          <w:color w:val="000000"/>
          <w:sz w:val="20"/>
          <w:szCs w:val="20"/>
        </w:rPr>
        <w:t xml:space="preserve"> J.-P. (2016), </w:t>
      </w:r>
      <w:r w:rsidRPr="00EC2E98">
        <w:rPr>
          <w:rFonts w:cstheme="minorHAnsi"/>
          <w:i/>
          <w:color w:val="000000"/>
          <w:sz w:val="20"/>
          <w:szCs w:val="20"/>
        </w:rPr>
        <w:t>La gestion du Vieillissement</w:t>
      </w:r>
      <w:r w:rsidRPr="00EC2E98">
        <w:rPr>
          <w:rFonts w:cstheme="minorHAnsi"/>
          <w:i/>
          <w:color w:val="000000"/>
          <w:sz w:val="20"/>
          <w:szCs w:val="20"/>
        </w:rPr>
        <w:t xml:space="preserve"> </w:t>
      </w:r>
      <w:r w:rsidRPr="00EC2E98">
        <w:rPr>
          <w:rFonts w:cstheme="minorHAnsi"/>
          <w:i/>
          <w:color w:val="000000"/>
          <w:sz w:val="20"/>
          <w:szCs w:val="20"/>
        </w:rPr>
        <w:t>en Wallonie aux horizons 2025-2045 : enjeux et prospective</w:t>
      </w:r>
      <w:r w:rsidRPr="00EC2E98">
        <w:rPr>
          <w:rFonts w:cstheme="minorHAnsi"/>
          <w:color w:val="000000"/>
          <w:sz w:val="20"/>
          <w:szCs w:val="20"/>
        </w:rPr>
        <w:t>, Rapport de</w:t>
      </w:r>
      <w:r w:rsidRPr="00EC2E98">
        <w:rPr>
          <w:rFonts w:cstheme="minorHAnsi"/>
          <w:color w:val="000000"/>
          <w:sz w:val="20"/>
          <w:szCs w:val="20"/>
        </w:rPr>
        <w:t xml:space="preserve"> </w:t>
      </w:r>
      <w:r w:rsidRPr="00EC2E98">
        <w:rPr>
          <w:rFonts w:cstheme="minorHAnsi"/>
          <w:color w:val="000000"/>
          <w:sz w:val="20"/>
          <w:szCs w:val="20"/>
        </w:rPr>
        <w:t>re</w:t>
      </w:r>
      <w:r w:rsidR="00EC2E98">
        <w:rPr>
          <w:rFonts w:cstheme="minorHAnsi"/>
          <w:color w:val="000000"/>
          <w:sz w:val="20"/>
          <w:szCs w:val="20"/>
        </w:rPr>
        <w:t>cherche de l’IWEPS, 2016</w:t>
      </w:r>
      <w:r w:rsidRPr="00EC2E98">
        <w:rPr>
          <w:rFonts w:cstheme="minorHAnsi"/>
          <w:color w:val="000000"/>
          <w:sz w:val="20"/>
          <w:szCs w:val="20"/>
        </w:rPr>
        <w:t xml:space="preserve"> (</w:t>
      </w:r>
      <w:hyperlink r:id="rId8" w:history="1">
        <w:r w:rsidRPr="00EC2E98">
          <w:rPr>
            <w:rFonts w:cstheme="minorHAnsi"/>
            <w:color w:val="000000"/>
            <w:sz w:val="20"/>
            <w:szCs w:val="20"/>
          </w:rPr>
          <w:t>https://www.iweps.be/wp-content/uploads/2017/01/RR17-La-gestion-du-vieillissement-en- Wallonie.pdf</w:t>
        </w:r>
      </w:hyperlink>
      <w:r w:rsidRPr="00EC2E98">
        <w:rPr>
          <w:rFonts w:cstheme="minorHAnsi"/>
          <w:color w:val="000000"/>
          <w:sz w:val="20"/>
          <w:szCs w:val="20"/>
        </w:rPr>
        <w:t>.</w:t>
      </w:r>
      <w:r w:rsidRPr="00EC2E98">
        <w:rPr>
          <w:rFonts w:cstheme="minorHAnsi"/>
          <w:color w:val="000000"/>
          <w:sz w:val="20"/>
          <w:szCs w:val="20"/>
        </w:rPr>
        <w:t>)</w:t>
      </w:r>
    </w:p>
    <w:p w:rsidR="00C86EB8" w:rsidRPr="00EC2E98" w:rsidRDefault="00EC2E98" w:rsidP="00EC2E98">
      <w:pPr>
        <w:autoSpaceDE w:val="0"/>
        <w:autoSpaceDN w:val="0"/>
        <w:adjustRightInd w:val="0"/>
        <w:spacing w:after="0" w:line="240" w:lineRule="auto"/>
        <w:ind w:left="426" w:hanging="426"/>
        <w:rPr>
          <w:rFonts w:cstheme="minorHAnsi"/>
          <w:sz w:val="20"/>
          <w:szCs w:val="20"/>
        </w:rPr>
      </w:pPr>
      <w:r>
        <w:rPr>
          <w:rFonts w:cstheme="minorHAnsi"/>
          <w:sz w:val="20"/>
          <w:szCs w:val="20"/>
        </w:rPr>
        <w:lastRenderedPageBreak/>
        <w:t>Bureau fédéral du Plan, DGS</w:t>
      </w:r>
      <w:r w:rsidR="00C86EB8" w:rsidRPr="00EC2E98">
        <w:rPr>
          <w:rFonts w:cstheme="minorHAnsi"/>
          <w:sz w:val="20"/>
          <w:szCs w:val="20"/>
        </w:rPr>
        <w:t xml:space="preserve">, </w:t>
      </w:r>
      <w:r w:rsidR="00C86EB8" w:rsidRPr="00EC2E98">
        <w:rPr>
          <w:rFonts w:cstheme="minorHAnsi"/>
          <w:i/>
          <w:iCs/>
          <w:sz w:val="20"/>
          <w:szCs w:val="20"/>
        </w:rPr>
        <w:t>Perspectives démographiques 2015-2060</w:t>
      </w:r>
      <w:r w:rsidR="00C86EB8" w:rsidRPr="00EC2E98">
        <w:rPr>
          <w:rFonts w:cstheme="minorHAnsi"/>
          <w:sz w:val="20"/>
          <w:szCs w:val="20"/>
        </w:rPr>
        <w:t xml:space="preserve">, Perspectives, </w:t>
      </w:r>
      <w:r>
        <w:rPr>
          <w:rFonts w:cstheme="minorHAnsi"/>
          <w:sz w:val="20"/>
          <w:szCs w:val="20"/>
        </w:rPr>
        <w:t>mars, 2017</w:t>
      </w:r>
    </w:p>
    <w:p w:rsidR="00C86EB8" w:rsidRPr="00EC2E98" w:rsidRDefault="00C86EB8" w:rsidP="00EC2E98">
      <w:pPr>
        <w:spacing w:after="0" w:line="240" w:lineRule="auto"/>
        <w:ind w:left="426" w:hanging="426"/>
        <w:jc w:val="both"/>
        <w:rPr>
          <w:rFonts w:cstheme="minorHAnsi"/>
          <w:sz w:val="20"/>
          <w:szCs w:val="20"/>
          <w:lang w:val="en-US"/>
        </w:rPr>
      </w:pPr>
      <w:r w:rsidRPr="00EC2E98">
        <w:rPr>
          <w:rFonts w:cstheme="minorHAnsi"/>
          <w:sz w:val="20"/>
          <w:szCs w:val="20"/>
          <w:lang w:val="en-US"/>
        </w:rPr>
        <w:t>G</w:t>
      </w:r>
      <w:r w:rsidR="00EC2E98">
        <w:rPr>
          <w:rFonts w:cstheme="minorHAnsi"/>
          <w:sz w:val="20"/>
          <w:szCs w:val="20"/>
          <w:lang w:val="en-US"/>
        </w:rPr>
        <w:t>odet</w:t>
      </w:r>
      <w:r w:rsidRPr="00EC2E98">
        <w:rPr>
          <w:rFonts w:cstheme="minorHAnsi"/>
          <w:sz w:val="20"/>
          <w:szCs w:val="20"/>
          <w:lang w:val="en-US"/>
        </w:rPr>
        <w:t xml:space="preserve"> M</w:t>
      </w:r>
      <w:r w:rsidR="00EC2E98" w:rsidRPr="00EC2E98">
        <w:rPr>
          <w:rFonts w:cstheme="minorHAnsi"/>
          <w:sz w:val="20"/>
          <w:szCs w:val="20"/>
          <w:lang w:val="en-US"/>
        </w:rPr>
        <w:t>.</w:t>
      </w:r>
      <w:r w:rsidRPr="00EC2E98">
        <w:rPr>
          <w:rFonts w:cstheme="minorHAnsi"/>
          <w:sz w:val="20"/>
          <w:szCs w:val="20"/>
          <w:lang w:val="en-US"/>
        </w:rPr>
        <w:t xml:space="preserve">, </w:t>
      </w:r>
      <w:r w:rsidRPr="00EC2E98">
        <w:rPr>
          <w:rFonts w:cstheme="minorHAnsi"/>
          <w:i/>
          <w:sz w:val="20"/>
          <w:szCs w:val="20"/>
          <w:lang w:val="en-US"/>
        </w:rPr>
        <w:t>Creating Futures</w:t>
      </w:r>
      <w:r w:rsidRPr="00EC2E98">
        <w:rPr>
          <w:rFonts w:cstheme="minorHAnsi"/>
          <w:sz w:val="20"/>
          <w:szCs w:val="20"/>
          <w:lang w:val="en-US"/>
        </w:rPr>
        <w:t xml:space="preserve">, Paris, </w:t>
      </w:r>
      <w:proofErr w:type="spellStart"/>
      <w:r w:rsidRPr="00EC2E98">
        <w:rPr>
          <w:rFonts w:cstheme="minorHAnsi"/>
          <w:sz w:val="20"/>
          <w:szCs w:val="20"/>
          <w:lang w:val="en-US"/>
        </w:rPr>
        <w:t>Economica</w:t>
      </w:r>
      <w:proofErr w:type="spellEnd"/>
      <w:r w:rsidRPr="00EC2E98">
        <w:rPr>
          <w:rFonts w:cstheme="minorHAnsi"/>
          <w:sz w:val="20"/>
          <w:szCs w:val="20"/>
          <w:lang w:val="en-US"/>
        </w:rPr>
        <w:t>, 2006</w:t>
      </w:r>
    </w:p>
    <w:p w:rsidR="00C86EB8" w:rsidRPr="00EC2E98" w:rsidRDefault="00EC2E98" w:rsidP="00EC2E98">
      <w:pPr>
        <w:spacing w:after="0" w:line="240" w:lineRule="auto"/>
        <w:ind w:left="426" w:hanging="426"/>
        <w:jc w:val="both"/>
        <w:rPr>
          <w:rFonts w:cstheme="minorHAnsi"/>
          <w:sz w:val="20"/>
          <w:szCs w:val="20"/>
        </w:rPr>
      </w:pPr>
      <w:r>
        <w:rPr>
          <w:rFonts w:cstheme="minorHAnsi"/>
          <w:sz w:val="20"/>
          <w:szCs w:val="20"/>
        </w:rPr>
        <w:t>Godet</w:t>
      </w:r>
      <w:r w:rsidR="00C86EB8" w:rsidRPr="00EC2E98">
        <w:rPr>
          <w:rFonts w:cstheme="minorHAnsi"/>
          <w:sz w:val="20"/>
          <w:szCs w:val="20"/>
        </w:rPr>
        <w:t xml:space="preserve"> M</w:t>
      </w:r>
      <w:r>
        <w:rPr>
          <w:rFonts w:cstheme="minorHAnsi"/>
          <w:sz w:val="20"/>
          <w:szCs w:val="20"/>
        </w:rPr>
        <w:t>.</w:t>
      </w:r>
      <w:r w:rsidR="00C86EB8" w:rsidRPr="00EC2E98">
        <w:rPr>
          <w:rFonts w:cstheme="minorHAnsi"/>
          <w:sz w:val="20"/>
          <w:szCs w:val="20"/>
        </w:rPr>
        <w:t>, Manuel de prospective stratégique, Tome 1 : Une indiscipline intellectuelle, 3</w:t>
      </w:r>
      <w:r w:rsidR="00C86EB8" w:rsidRPr="00EC2E98">
        <w:rPr>
          <w:rFonts w:cstheme="minorHAnsi"/>
          <w:sz w:val="20"/>
          <w:szCs w:val="20"/>
          <w:vertAlign w:val="superscript"/>
        </w:rPr>
        <w:t>ème</w:t>
      </w:r>
      <w:r w:rsidR="00C86EB8" w:rsidRPr="00EC2E98">
        <w:rPr>
          <w:rFonts w:cstheme="minorHAnsi"/>
          <w:sz w:val="20"/>
          <w:szCs w:val="20"/>
        </w:rPr>
        <w:t xml:space="preserve"> édition, </w:t>
      </w:r>
      <w:r w:rsidRPr="00EC2E98">
        <w:rPr>
          <w:rFonts w:cstheme="minorHAnsi"/>
          <w:sz w:val="20"/>
          <w:szCs w:val="20"/>
        </w:rPr>
        <w:t>Paris</w:t>
      </w:r>
      <w:r>
        <w:rPr>
          <w:rFonts w:cstheme="minorHAnsi"/>
          <w:sz w:val="20"/>
          <w:szCs w:val="20"/>
        </w:rPr>
        <w:t>,</w:t>
      </w:r>
      <w:r w:rsidRPr="00EC2E98">
        <w:rPr>
          <w:rFonts w:cstheme="minorHAnsi"/>
          <w:sz w:val="20"/>
          <w:szCs w:val="20"/>
        </w:rPr>
        <w:t xml:space="preserve"> </w:t>
      </w:r>
      <w:r w:rsidR="00C86EB8" w:rsidRPr="00EC2E98">
        <w:rPr>
          <w:rFonts w:cstheme="minorHAnsi"/>
          <w:sz w:val="20"/>
          <w:szCs w:val="20"/>
        </w:rPr>
        <w:t>2007</w:t>
      </w:r>
    </w:p>
    <w:p w:rsidR="00C86EB8" w:rsidRPr="00EC2E98" w:rsidRDefault="00EC2E98" w:rsidP="00EC2E98">
      <w:pPr>
        <w:spacing w:after="0" w:line="240" w:lineRule="auto"/>
        <w:ind w:left="426" w:hanging="426"/>
        <w:jc w:val="both"/>
        <w:rPr>
          <w:rFonts w:cstheme="minorHAnsi"/>
          <w:sz w:val="20"/>
          <w:szCs w:val="20"/>
        </w:rPr>
      </w:pPr>
      <w:r>
        <w:rPr>
          <w:rFonts w:cstheme="minorHAnsi"/>
          <w:sz w:val="20"/>
          <w:szCs w:val="20"/>
        </w:rPr>
        <w:t>Godet</w:t>
      </w:r>
      <w:r w:rsidR="00C86EB8" w:rsidRPr="00EC2E98">
        <w:rPr>
          <w:rFonts w:cstheme="minorHAnsi"/>
          <w:sz w:val="20"/>
          <w:szCs w:val="20"/>
        </w:rPr>
        <w:t xml:space="preserve"> M</w:t>
      </w:r>
      <w:r>
        <w:rPr>
          <w:rFonts w:cstheme="minorHAnsi"/>
          <w:sz w:val="20"/>
          <w:szCs w:val="20"/>
        </w:rPr>
        <w:t>.</w:t>
      </w:r>
      <w:r w:rsidR="00C86EB8" w:rsidRPr="00EC2E98">
        <w:rPr>
          <w:rFonts w:cstheme="minorHAnsi"/>
          <w:sz w:val="20"/>
          <w:szCs w:val="20"/>
        </w:rPr>
        <w:t>, Manuel de prospective stratégique, Tome 2 : L’art et la méthode, DUNOD, 3</w:t>
      </w:r>
      <w:r w:rsidR="00C86EB8" w:rsidRPr="00EC2E98">
        <w:rPr>
          <w:rFonts w:cstheme="minorHAnsi"/>
          <w:sz w:val="20"/>
          <w:szCs w:val="20"/>
          <w:vertAlign w:val="superscript"/>
        </w:rPr>
        <w:t>ème</w:t>
      </w:r>
      <w:r w:rsidR="00C86EB8" w:rsidRPr="00EC2E98">
        <w:rPr>
          <w:rFonts w:cstheme="minorHAnsi"/>
          <w:sz w:val="20"/>
          <w:szCs w:val="20"/>
        </w:rPr>
        <w:t xml:space="preserve"> édition, </w:t>
      </w:r>
      <w:r w:rsidRPr="00EC2E98">
        <w:rPr>
          <w:rFonts w:cstheme="minorHAnsi"/>
          <w:sz w:val="20"/>
          <w:szCs w:val="20"/>
        </w:rPr>
        <w:t>Paris</w:t>
      </w:r>
      <w:r>
        <w:rPr>
          <w:rFonts w:cstheme="minorHAnsi"/>
          <w:sz w:val="20"/>
          <w:szCs w:val="20"/>
        </w:rPr>
        <w:t>,</w:t>
      </w:r>
      <w:r w:rsidRPr="00EC2E98">
        <w:rPr>
          <w:rFonts w:cstheme="minorHAnsi"/>
          <w:sz w:val="20"/>
          <w:szCs w:val="20"/>
        </w:rPr>
        <w:t xml:space="preserve"> </w:t>
      </w:r>
      <w:r>
        <w:rPr>
          <w:rFonts w:cstheme="minorHAnsi"/>
          <w:sz w:val="20"/>
          <w:szCs w:val="20"/>
        </w:rPr>
        <w:t>2007</w:t>
      </w:r>
    </w:p>
    <w:p w:rsidR="00EC2E98" w:rsidRPr="00EC2E98" w:rsidRDefault="00EC2E98" w:rsidP="00EC2E98">
      <w:pPr>
        <w:widowControl w:val="0"/>
        <w:spacing w:after="0" w:line="240" w:lineRule="auto"/>
        <w:ind w:left="426" w:hanging="425"/>
        <w:jc w:val="both"/>
        <w:rPr>
          <w:rFonts w:cstheme="minorHAnsi"/>
          <w:sz w:val="20"/>
          <w:szCs w:val="20"/>
        </w:rPr>
      </w:pPr>
      <w:r w:rsidRPr="00EC2E98">
        <w:rPr>
          <w:rFonts w:cstheme="minorHAnsi"/>
          <w:sz w:val="20"/>
          <w:szCs w:val="20"/>
        </w:rPr>
        <w:t>Guyot J.-L., Marquet J. (</w:t>
      </w:r>
      <w:proofErr w:type="spellStart"/>
      <w:r w:rsidRPr="00EC2E98">
        <w:rPr>
          <w:rFonts w:cstheme="minorHAnsi"/>
          <w:sz w:val="20"/>
          <w:szCs w:val="20"/>
        </w:rPr>
        <w:t>éds</w:t>
      </w:r>
      <w:proofErr w:type="spellEnd"/>
      <w:r w:rsidRPr="00EC2E98">
        <w:rPr>
          <w:rFonts w:cstheme="minorHAnsi"/>
          <w:sz w:val="20"/>
          <w:szCs w:val="20"/>
        </w:rPr>
        <w:t xml:space="preserve">), </w:t>
      </w:r>
      <w:r w:rsidRPr="00EC2E98">
        <w:rPr>
          <w:rFonts w:cstheme="minorHAnsi"/>
          <w:i/>
          <w:sz w:val="20"/>
          <w:szCs w:val="20"/>
        </w:rPr>
        <w:t>Le bien vieillir en Wallonie : enjeux et prospective</w:t>
      </w:r>
      <w:r w:rsidRPr="00EC2E98">
        <w:rPr>
          <w:rFonts w:cstheme="minorHAnsi"/>
          <w:sz w:val="20"/>
          <w:szCs w:val="20"/>
        </w:rPr>
        <w:t>, Presses universitaires de Namur, Namur, 2017</w:t>
      </w:r>
    </w:p>
    <w:p w:rsidR="00C86EB8" w:rsidRPr="00BB10D0" w:rsidRDefault="00C86EB8" w:rsidP="00C86EB8">
      <w:pPr>
        <w:autoSpaceDE w:val="0"/>
        <w:autoSpaceDN w:val="0"/>
        <w:adjustRightInd w:val="0"/>
        <w:spacing w:after="0" w:line="240" w:lineRule="auto"/>
      </w:pPr>
    </w:p>
    <w:sectPr w:rsidR="00C86EB8" w:rsidRPr="00BB10D0" w:rsidSect="005610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6E" w:rsidRDefault="00CC236E" w:rsidP="003F0C34">
      <w:pPr>
        <w:spacing w:after="0" w:line="240" w:lineRule="auto"/>
      </w:pPr>
      <w:r>
        <w:separator/>
      </w:r>
    </w:p>
  </w:endnote>
  <w:endnote w:type="continuationSeparator" w:id="0">
    <w:p w:rsidR="00CC236E" w:rsidRDefault="00CC236E" w:rsidP="003F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6E" w:rsidRDefault="00CC236E" w:rsidP="003F0C34">
      <w:pPr>
        <w:spacing w:after="0" w:line="240" w:lineRule="auto"/>
      </w:pPr>
      <w:r>
        <w:separator/>
      </w:r>
    </w:p>
  </w:footnote>
  <w:footnote w:type="continuationSeparator" w:id="0">
    <w:p w:rsidR="00CC236E" w:rsidRDefault="00CC236E" w:rsidP="003F0C34">
      <w:pPr>
        <w:spacing w:after="0" w:line="240" w:lineRule="auto"/>
      </w:pPr>
      <w:r>
        <w:continuationSeparator/>
      </w:r>
    </w:p>
  </w:footnote>
  <w:footnote w:id="1">
    <w:p w:rsidR="00BB10D0" w:rsidRPr="00EC2E98" w:rsidRDefault="00BB10D0" w:rsidP="00EC2E98">
      <w:pPr>
        <w:pStyle w:val="Notedebasdepage"/>
        <w:rPr>
          <w:sz w:val="18"/>
        </w:rPr>
      </w:pPr>
      <w:r w:rsidRPr="00EC2E98">
        <w:rPr>
          <w:sz w:val="18"/>
        </w:rPr>
        <w:footnoteRef/>
      </w:r>
      <w:r w:rsidRPr="00EC2E98">
        <w:rPr>
          <w:sz w:val="18"/>
        </w:rPr>
        <w:t xml:space="preserve"> Bureau fédéral du Plan et Direction générale Statistique (2016).</w:t>
      </w:r>
    </w:p>
  </w:footnote>
  <w:footnote w:id="2">
    <w:p w:rsidR="003F0C34" w:rsidRPr="00EC2E98" w:rsidRDefault="003F0C34" w:rsidP="00EC2E98">
      <w:pPr>
        <w:pStyle w:val="Notedebasdepage"/>
        <w:rPr>
          <w:sz w:val="18"/>
          <w:lang w:val="fr-FR"/>
        </w:rPr>
      </w:pPr>
      <w:r w:rsidRPr="00EC2E98">
        <w:rPr>
          <w:rStyle w:val="Appelnotedebasdep"/>
          <w:rFonts w:asciiTheme="minorHAnsi" w:hAnsiTheme="minorHAnsi"/>
          <w:szCs w:val="18"/>
        </w:rPr>
        <w:footnoteRef/>
      </w:r>
      <w:r w:rsidR="009C1FD8">
        <w:rPr>
          <w:sz w:val="18"/>
        </w:rPr>
        <w:t xml:space="preserve"> </w:t>
      </w:r>
      <w:r w:rsidRPr="00EC2E98">
        <w:rPr>
          <w:sz w:val="18"/>
        </w:rPr>
        <w:t>A ce propos, on peut consulter le docume</w:t>
      </w:r>
      <w:r w:rsidR="00EC2E98" w:rsidRPr="00EC2E98">
        <w:rPr>
          <w:sz w:val="18"/>
        </w:rPr>
        <w:t>nt suivant : MRW, Direction géné</w:t>
      </w:r>
      <w:r w:rsidRPr="00EC2E98">
        <w:rPr>
          <w:sz w:val="18"/>
        </w:rPr>
        <w:t xml:space="preserve">rale de l’Action sociale et de la Santé (2007), document en ligne, </w:t>
      </w:r>
      <w:r w:rsidRPr="00EC2E98">
        <w:rPr>
          <w:rStyle w:val="Lienhypertexte"/>
          <w:bCs w:val="0"/>
          <w:iCs w:val="0"/>
          <w:sz w:val="18"/>
        </w:rPr>
        <w:t>www.platformpopdev.be/getpdf.asp?docnr=18</w:t>
      </w:r>
      <w:r w:rsidRPr="00EC2E98">
        <w:rPr>
          <w:rStyle w:val="CitationHTML"/>
          <w:sz w:val="18"/>
        </w:rPr>
        <w:t>.</w:t>
      </w:r>
    </w:p>
  </w:footnote>
  <w:footnote w:id="3">
    <w:p w:rsidR="00F36459" w:rsidRPr="00EC2E98" w:rsidRDefault="00F36459" w:rsidP="00EC2E98">
      <w:pPr>
        <w:pStyle w:val="Notedebasdepage"/>
        <w:rPr>
          <w:sz w:val="18"/>
          <w:lang w:val="fr-CA"/>
        </w:rPr>
      </w:pPr>
      <w:r w:rsidRPr="00EC2E98">
        <w:rPr>
          <w:rStyle w:val="Appelnotedebasdep"/>
          <w:rFonts w:asciiTheme="minorHAnsi" w:hAnsiTheme="minorHAnsi"/>
          <w:szCs w:val="18"/>
        </w:rPr>
        <w:footnoteRef/>
      </w:r>
      <w:r w:rsidRPr="00EC2E98">
        <w:rPr>
          <w:sz w:val="18"/>
        </w:rPr>
        <w:t xml:space="preserve"> </w:t>
      </w:r>
      <w:r w:rsidR="001A33AA">
        <w:rPr>
          <w:sz w:val="18"/>
        </w:rPr>
        <w:t xml:space="preserve">Entre autres, </w:t>
      </w:r>
      <w:r w:rsidR="001A33AA" w:rsidRPr="00EC2E98">
        <w:rPr>
          <w:color w:val="000000"/>
          <w:szCs w:val="20"/>
        </w:rPr>
        <w:t>Bourguignon M</w:t>
      </w:r>
      <w:r w:rsidR="001A33AA" w:rsidRPr="00EC2E98">
        <w:rPr>
          <w:sz w:val="18"/>
        </w:rPr>
        <w:t xml:space="preserve"> </w:t>
      </w:r>
      <w:r w:rsidR="001A33AA">
        <w:rPr>
          <w:i/>
          <w:sz w:val="18"/>
        </w:rPr>
        <w:t xml:space="preserve">et al. </w:t>
      </w:r>
      <w:r w:rsidR="001A33AA">
        <w:rPr>
          <w:i/>
          <w:sz w:val="18"/>
        </w:rPr>
        <w:t xml:space="preserve">(2016) </w:t>
      </w:r>
      <w:r w:rsidR="001A33AA" w:rsidRPr="001A33AA">
        <w:rPr>
          <w:sz w:val="18"/>
        </w:rPr>
        <w:t>et Guyot et Marquet (2017)</w:t>
      </w:r>
      <w:r w:rsidR="001A33AA">
        <w:rPr>
          <w:sz w:val="18"/>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30B9"/>
    <w:multiLevelType w:val="hybridMultilevel"/>
    <w:tmpl w:val="AD74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F523A6"/>
    <w:multiLevelType w:val="hybridMultilevel"/>
    <w:tmpl w:val="D6F2AEBC"/>
    <w:lvl w:ilvl="0" w:tplc="1794E250">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7D4AB2"/>
    <w:multiLevelType w:val="hybridMultilevel"/>
    <w:tmpl w:val="9CA83FF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4"/>
    <w:rsid w:val="001A33AA"/>
    <w:rsid w:val="003C598F"/>
    <w:rsid w:val="003F0C34"/>
    <w:rsid w:val="00420D51"/>
    <w:rsid w:val="00561003"/>
    <w:rsid w:val="00835DF4"/>
    <w:rsid w:val="009C1FD8"/>
    <w:rsid w:val="00B17459"/>
    <w:rsid w:val="00BB10D0"/>
    <w:rsid w:val="00C128DA"/>
    <w:rsid w:val="00C86EB8"/>
    <w:rsid w:val="00CC236E"/>
    <w:rsid w:val="00CF0A4C"/>
    <w:rsid w:val="00E261ED"/>
    <w:rsid w:val="00EC2E98"/>
    <w:rsid w:val="00EF527C"/>
    <w:rsid w:val="00F36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D3770-CDF9-43DF-8209-35C05CC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3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C34"/>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3F0C34"/>
    <w:pPr>
      <w:spacing w:line="241" w:lineRule="atLeast"/>
    </w:pPr>
    <w:rPr>
      <w:rFonts w:cstheme="minorBidi"/>
      <w:color w:val="auto"/>
    </w:rPr>
  </w:style>
  <w:style w:type="character" w:customStyle="1" w:styleId="A3">
    <w:name w:val="A3"/>
    <w:uiPriority w:val="99"/>
    <w:rsid w:val="003F0C34"/>
    <w:rPr>
      <w:rFonts w:cs="Myriad Pro"/>
      <w:color w:val="000000"/>
      <w:sz w:val="20"/>
      <w:szCs w:val="20"/>
    </w:rPr>
  </w:style>
  <w:style w:type="paragraph" w:styleId="Notedebasdepage">
    <w:name w:val="footnote text"/>
    <w:basedOn w:val="Normal"/>
    <w:link w:val="NotedebasdepageCar"/>
    <w:autoRedefine/>
    <w:uiPriority w:val="99"/>
    <w:unhideWhenUsed/>
    <w:qFormat/>
    <w:rsid w:val="00EC2E98"/>
    <w:pPr>
      <w:tabs>
        <w:tab w:val="left" w:pos="284"/>
      </w:tabs>
      <w:spacing w:after="0" w:line="240" w:lineRule="auto"/>
      <w:ind w:left="227" w:hanging="227"/>
      <w:jc w:val="both"/>
    </w:pPr>
    <w:rPr>
      <w:rFonts w:cstheme="minorHAnsi"/>
      <w:bCs/>
      <w:iCs/>
      <w:sz w:val="20"/>
      <w:szCs w:val="18"/>
      <w:vertAlign w:val="superscript"/>
    </w:rPr>
  </w:style>
  <w:style w:type="character" w:customStyle="1" w:styleId="NotedebasdepageCar">
    <w:name w:val="Note de bas de page Car"/>
    <w:basedOn w:val="Policepardfaut"/>
    <w:link w:val="Notedebasdepage"/>
    <w:uiPriority w:val="99"/>
    <w:rsid w:val="00EC2E98"/>
    <w:rPr>
      <w:rFonts w:cstheme="minorHAnsi"/>
      <w:bCs/>
      <w:iCs/>
      <w:sz w:val="20"/>
      <w:szCs w:val="18"/>
      <w:vertAlign w:val="superscript"/>
      <w:lang w:val="fr-BE"/>
    </w:rPr>
  </w:style>
  <w:style w:type="character" w:styleId="Appelnotedebasdep">
    <w:name w:val="footnote reference"/>
    <w:aliases w:val="Normale + Tipo di carattere: 12 Punti,Apice 3 Punti,Normale + Tipo di carattere: 12 Punti1,Apice 3 Punti1,Normale + Tipo di carattere: 12 Punti2,Apice 3 Punti2,Normale + Tipo di carattere: 12 Punti3,Apice 3 Punti3, Apice 3 Punti"/>
    <w:uiPriority w:val="99"/>
    <w:unhideWhenUsed/>
    <w:qFormat/>
    <w:rsid w:val="003F0C34"/>
    <w:rPr>
      <w:rFonts w:ascii="Arial" w:hAnsi="Arial"/>
      <w:strike w:val="0"/>
      <w:dstrike w:val="0"/>
      <w:sz w:val="18"/>
      <w:szCs w:val="21"/>
      <w:vertAlign w:val="superscript"/>
      <w:lang w:eastAsia="fr-BE"/>
    </w:rPr>
  </w:style>
  <w:style w:type="character" w:styleId="Lienhypertexte">
    <w:name w:val="Hyperlink"/>
    <w:basedOn w:val="Policepardfaut"/>
    <w:uiPriority w:val="99"/>
    <w:unhideWhenUsed/>
    <w:rsid w:val="003F0C34"/>
    <w:rPr>
      <w:color w:val="0000FF" w:themeColor="hyperlink"/>
      <w:u w:val="single"/>
    </w:rPr>
  </w:style>
  <w:style w:type="character" w:styleId="CitationHTML">
    <w:name w:val="HTML Cite"/>
    <w:basedOn w:val="Policepardfaut"/>
    <w:semiHidden/>
    <w:unhideWhenUsed/>
    <w:rsid w:val="003F0C34"/>
    <w:rPr>
      <w:i/>
      <w:iCs/>
    </w:rPr>
  </w:style>
  <w:style w:type="paragraph" w:styleId="Paragraphedeliste">
    <w:name w:val="List Paragraph"/>
    <w:basedOn w:val="Normal"/>
    <w:uiPriority w:val="34"/>
    <w:qFormat/>
    <w:rsid w:val="00E2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weps.be/wp-content/uploads/2017/01/RR17-La-gestion-du-vieillissement-en-%20Wallo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B445-B065-42B1-A251-73E8544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Jean-Luc Guyot</cp:lastModifiedBy>
  <cp:revision>3</cp:revision>
  <dcterms:created xsi:type="dcterms:W3CDTF">2017-10-05T10:02:00Z</dcterms:created>
  <dcterms:modified xsi:type="dcterms:W3CDTF">2017-10-05T10:04:00Z</dcterms:modified>
</cp:coreProperties>
</file>